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A7EA" w14:textId="0F469A56" w:rsidR="000B186E" w:rsidRPr="004A1469" w:rsidRDefault="000B186E" w:rsidP="007340A2">
      <w:pPr>
        <w:pStyle w:val="Nagwek1"/>
        <w:spacing w:after="120"/>
        <w:ind w:right="65"/>
      </w:pPr>
      <w:r w:rsidRPr="004A1469">
        <w:t>UZASADNIENIE</w:t>
      </w:r>
      <w:r w:rsidR="002E2A29">
        <w:t xml:space="preserve"> </w:t>
      </w:r>
      <w:r w:rsidR="008D3587">
        <w:t>AUTOPOPRAWKI</w:t>
      </w:r>
    </w:p>
    <w:p w14:paraId="407EA4D5" w14:textId="11E2E71B" w:rsidR="000B186E" w:rsidRPr="004A1469" w:rsidRDefault="000B186E" w:rsidP="007340A2">
      <w:pPr>
        <w:spacing w:after="120" w:line="256" w:lineRule="auto"/>
        <w:ind w:right="0" w:firstLine="0"/>
        <w:jc w:val="left"/>
      </w:pPr>
    </w:p>
    <w:p w14:paraId="7315E827" w14:textId="77777777" w:rsidR="00267153" w:rsidRPr="004A1469" w:rsidRDefault="00267153" w:rsidP="00985A40">
      <w:pPr>
        <w:pStyle w:val="Akapitzlist"/>
        <w:numPr>
          <w:ilvl w:val="0"/>
          <w:numId w:val="9"/>
        </w:numPr>
        <w:spacing w:after="120" w:line="256" w:lineRule="auto"/>
        <w:ind w:left="284" w:right="0" w:hanging="284"/>
        <w:jc w:val="left"/>
        <w:rPr>
          <w:b/>
          <w:bCs/>
        </w:rPr>
      </w:pPr>
      <w:r w:rsidRPr="004A1469">
        <w:rPr>
          <w:b/>
          <w:bCs/>
        </w:rPr>
        <w:t>Potrzeba i cel ustawy.</w:t>
      </w:r>
    </w:p>
    <w:p w14:paraId="7175481F" w14:textId="1C298374" w:rsidR="00A41C1A" w:rsidRPr="004A1469" w:rsidRDefault="00A41C1A" w:rsidP="00A41C1A">
      <w:pPr>
        <w:spacing w:after="120"/>
        <w:ind w:left="-15" w:right="0" w:firstLine="0"/>
      </w:pPr>
      <w:r w:rsidRPr="004A1469">
        <w:t>Niekorzystne czynniki wpływające na wzrost cen energii elektrycznej i ciepła oraz nośników energii, w tym paliwa gazowego, na rynku krajowym i zagranicznym</w:t>
      </w:r>
      <w:r w:rsidR="00A5776B" w:rsidRPr="004A1469">
        <w:t xml:space="preserve"> wynikające przede wszystkim z agresji Rosji na Ukrainę w lutym 2022 r.</w:t>
      </w:r>
      <w:r w:rsidRPr="004A1469">
        <w:t xml:space="preserve">, utrzymujące się w okresie 2023 roku negatywnie oddziałują na wysokość ceny energii elektrycznej, ciepła i gazu dla odbiorców. Doraźne rozwiązania niwelujące skutki wzrostu cen, przewidziane w: </w:t>
      </w:r>
    </w:p>
    <w:p w14:paraId="714FFFBF" w14:textId="15A12BAC" w:rsidR="004F71B9" w:rsidRPr="004A1469" w:rsidRDefault="00A41C1A" w:rsidP="004F71B9">
      <w:pPr>
        <w:pStyle w:val="Akapitzlist"/>
        <w:numPr>
          <w:ilvl w:val="0"/>
          <w:numId w:val="4"/>
        </w:numPr>
        <w:spacing w:after="120"/>
        <w:ind w:right="0"/>
      </w:pPr>
      <w:r w:rsidRPr="004A1469">
        <w:t xml:space="preserve">ustawie z 15.09.2022 r. o szczególnych rozwiązaniach w zakresie niektórych źródeł ciepła w związku z sytuacją na rynku paliw (tekst jednolity Dz. U. z 2023 r. poz. 1772), </w:t>
      </w:r>
    </w:p>
    <w:p w14:paraId="337E8F40" w14:textId="77777777" w:rsidR="004F71B9" w:rsidRPr="004A1469" w:rsidRDefault="00A41C1A" w:rsidP="004F71B9">
      <w:pPr>
        <w:pStyle w:val="Akapitzlist"/>
        <w:numPr>
          <w:ilvl w:val="0"/>
          <w:numId w:val="4"/>
        </w:numPr>
        <w:spacing w:after="120"/>
        <w:ind w:right="0"/>
      </w:pPr>
      <w:r w:rsidRPr="004A1469">
        <w:t xml:space="preserve">ustawie z 7.10.2022 r. o szczególnych rozwiązaniach służących ochronie odbiorców energii elektrycznej w 2023 roku w związku z sytuacją na rynku energii elektrycznej (tekst jednolity Dz. U. z 2023 r., poz. 1704), </w:t>
      </w:r>
    </w:p>
    <w:p w14:paraId="7761F1DA" w14:textId="03881FAD" w:rsidR="004F71B9" w:rsidRPr="004A1469" w:rsidRDefault="00A41C1A" w:rsidP="004F71B9">
      <w:pPr>
        <w:pStyle w:val="Akapitzlist"/>
        <w:numPr>
          <w:ilvl w:val="0"/>
          <w:numId w:val="4"/>
        </w:numPr>
        <w:spacing w:after="120"/>
        <w:ind w:right="0"/>
      </w:pPr>
      <w:r w:rsidRPr="004A1469">
        <w:t>ustawie z 27.10.2022 r. o środkach nadzwyczajnych mających na celu ograniczenie wysokości cen energii elektrycznej oraz wsparciu niektórych odbiorców w 2023 roku (Dz. U. z 2022 r. poz. 2243),</w:t>
      </w:r>
    </w:p>
    <w:p w14:paraId="781308D2" w14:textId="5F7A7185" w:rsidR="00A41C1A" w:rsidRPr="004A1469" w:rsidRDefault="00A41C1A" w:rsidP="004F71B9">
      <w:pPr>
        <w:pStyle w:val="Akapitzlist"/>
        <w:numPr>
          <w:ilvl w:val="0"/>
          <w:numId w:val="4"/>
        </w:numPr>
        <w:spacing w:after="120"/>
        <w:ind w:right="0"/>
      </w:pPr>
      <w:r w:rsidRPr="004A1469">
        <w:t>ustawie z 15.12.2022 r. o szczególnej ochronie niektórych odbiorców paliw gazowych w 2023 r. w związku z sytuacją na rynku gazu (Dz. U. z 2022 r. poz. 2687),</w:t>
      </w:r>
    </w:p>
    <w:p w14:paraId="43CCA416" w14:textId="1F6A144F" w:rsidR="00A5776B" w:rsidRPr="004A1469" w:rsidRDefault="00A5776B" w:rsidP="004F71B9">
      <w:pPr>
        <w:pStyle w:val="Akapitzlist"/>
        <w:numPr>
          <w:ilvl w:val="0"/>
          <w:numId w:val="4"/>
        </w:numPr>
        <w:spacing w:after="120"/>
        <w:ind w:right="0"/>
      </w:pPr>
      <w:r w:rsidRPr="004A1469">
        <w:t xml:space="preserve">ustawie </w:t>
      </w:r>
      <w:r w:rsidRPr="004A1469">
        <w:rPr>
          <w:kern w:val="0"/>
          <w:szCs w:val="24"/>
          <w14:ligatures w14:val="none"/>
        </w:rPr>
        <w:t>z dnia 17</w:t>
      </w:r>
      <w:r w:rsidR="00C7283E" w:rsidRPr="004A1469">
        <w:rPr>
          <w:kern w:val="0"/>
          <w:szCs w:val="24"/>
          <w14:ligatures w14:val="none"/>
        </w:rPr>
        <w:t>.</w:t>
      </w:r>
      <w:r w:rsidR="00794222" w:rsidRPr="004A1469">
        <w:rPr>
          <w:kern w:val="0"/>
          <w:szCs w:val="24"/>
          <w14:ligatures w14:val="none"/>
        </w:rPr>
        <w:t>12</w:t>
      </w:r>
      <w:r w:rsidR="00C7283E" w:rsidRPr="004A1469">
        <w:rPr>
          <w:kern w:val="0"/>
          <w:szCs w:val="24"/>
          <w14:ligatures w14:val="none"/>
        </w:rPr>
        <w:t>.</w:t>
      </w:r>
      <w:r w:rsidRPr="004A1469">
        <w:rPr>
          <w:kern w:val="0"/>
          <w:szCs w:val="24"/>
          <w14:ligatures w14:val="none"/>
        </w:rPr>
        <w:t>2021 r. o dodatku osłonowym (Dz. U. z 2023 r. poz. 759),</w:t>
      </w:r>
    </w:p>
    <w:p w14:paraId="3E282D20" w14:textId="27F83CDA" w:rsidR="003069FA" w:rsidRPr="004A1469" w:rsidRDefault="00A41C1A" w:rsidP="003069FA">
      <w:pPr>
        <w:spacing w:after="120"/>
        <w:ind w:left="-15" w:right="0" w:firstLine="0"/>
      </w:pPr>
      <w:r w:rsidRPr="004A1469">
        <w:t>wymagają adekwatnego przedłużenia w zakresie i na warunkach przewidzianych w niniejszej ustawie. Celem ustawy jest zminimalizowanie podwyżek</w:t>
      </w:r>
      <w:r w:rsidR="004F71B9" w:rsidRPr="004A1469">
        <w:t xml:space="preserve"> wpływu</w:t>
      </w:r>
      <w:r w:rsidRPr="004A1469">
        <w:t xml:space="preserve"> cen energii i gazu dla najbardziej wrażliwych odbiorców, w tym</w:t>
      </w:r>
      <w:r w:rsidR="004F71B9" w:rsidRPr="004A1469">
        <w:t xml:space="preserve"> przede wszystkim</w:t>
      </w:r>
      <w:r w:rsidRPr="004A1469">
        <w:t xml:space="preserve"> odbiorców w gospodarstw</w:t>
      </w:r>
      <w:r w:rsidR="004F71B9" w:rsidRPr="004A1469">
        <w:t>ach</w:t>
      </w:r>
      <w:r w:rsidRPr="004A1469">
        <w:t xml:space="preserve"> domowy</w:t>
      </w:r>
      <w:r w:rsidR="004F71B9" w:rsidRPr="004A1469">
        <w:t>ch</w:t>
      </w:r>
      <w:r w:rsidRPr="004A1469">
        <w:t>, szeroko rozumianych podmiotów użyteczności publicznej</w:t>
      </w:r>
      <w:r w:rsidR="004F71B9" w:rsidRPr="004A1469">
        <w:t xml:space="preserve"> </w:t>
      </w:r>
      <w:r w:rsidR="00920582" w:rsidRPr="004A1469">
        <w:t xml:space="preserve">(w tym szpitale, szkoły, przedszkola, czy ośrodki pomocy społecznej) </w:t>
      </w:r>
      <w:r w:rsidR="004F71B9" w:rsidRPr="004A1469">
        <w:t>oraz</w:t>
      </w:r>
      <w:r w:rsidRPr="004A1469">
        <w:t xml:space="preserve"> jednostek samorządu terytorialnego, po dniu 31 grudnia 2023 roku.</w:t>
      </w:r>
      <w:r w:rsidR="00ED54A2" w:rsidRPr="004A1469">
        <w:t xml:space="preserve"> Brak wprowadzenia takich rozwiązań spowodowałby na tych rynkach bardzo wysokie wzrosty rachunków dla obiorców uprawnionych, które w zależności od rynku mogłyby wynosić </w:t>
      </w:r>
      <w:r w:rsidR="003D1C37" w:rsidRPr="004A1469">
        <w:t xml:space="preserve">nawet </w:t>
      </w:r>
      <w:r w:rsidR="00ED54A2" w:rsidRPr="004A1469">
        <w:t xml:space="preserve">50%, 70% czy </w:t>
      </w:r>
      <w:r w:rsidR="003D1C37" w:rsidRPr="004A1469">
        <w:t xml:space="preserve">w skrajnych przypadkach </w:t>
      </w:r>
      <w:r w:rsidR="00ED54A2" w:rsidRPr="004A1469">
        <w:t>ponad 100%.</w:t>
      </w:r>
    </w:p>
    <w:p w14:paraId="25050ADA" w14:textId="4A2C0E03" w:rsidR="002D2E56" w:rsidRPr="004A1469" w:rsidRDefault="00A5776B" w:rsidP="003069FA">
      <w:pPr>
        <w:spacing w:after="120"/>
        <w:ind w:left="-15" w:right="0" w:firstLine="0"/>
      </w:pPr>
      <w:r w:rsidRPr="004A1469">
        <w:t>Niezależnie od agresji Rosji na Ukrainę, g</w:t>
      </w:r>
      <w:r w:rsidR="002232E5" w:rsidRPr="004A1469">
        <w:t xml:space="preserve">enezą wysokich cen </w:t>
      </w:r>
      <w:r w:rsidR="00E73AA2" w:rsidRPr="004A1469">
        <w:t xml:space="preserve">energii w Polsce jest struktura wytwarzania </w:t>
      </w:r>
      <w:r w:rsidR="00977863" w:rsidRPr="004A1469">
        <w:t xml:space="preserve">energii </w:t>
      </w:r>
      <w:r w:rsidR="00E73AA2" w:rsidRPr="004A1469">
        <w:t>(miks energetyczny) opart</w:t>
      </w:r>
      <w:r w:rsidR="00011A77" w:rsidRPr="004A1469">
        <w:t>a</w:t>
      </w:r>
      <w:r w:rsidR="00A0709B" w:rsidRPr="004A1469">
        <w:t xml:space="preserve"> nadal </w:t>
      </w:r>
      <w:r w:rsidR="00E73AA2" w:rsidRPr="004A1469">
        <w:t xml:space="preserve">w zdecydowanej większości na </w:t>
      </w:r>
      <w:r w:rsidR="008938B9" w:rsidRPr="004A1469">
        <w:t>paliwach kopalnych</w:t>
      </w:r>
      <w:r w:rsidR="003D1C8A" w:rsidRPr="004A1469">
        <w:t xml:space="preserve"> – zarówno w elektroenergetyce, </w:t>
      </w:r>
      <w:r w:rsidR="0094010B">
        <w:t xml:space="preserve">jak i </w:t>
      </w:r>
      <w:r w:rsidR="003D1C8A" w:rsidRPr="004A1469">
        <w:t>ciepłownictwie.</w:t>
      </w:r>
      <w:r w:rsidR="00011A77" w:rsidRPr="004A1469">
        <w:t xml:space="preserve"> Wykorzystywanie </w:t>
      </w:r>
      <w:r w:rsidR="00550678" w:rsidRPr="004A1469">
        <w:t xml:space="preserve">w </w:t>
      </w:r>
      <w:r w:rsidR="00A0709B" w:rsidRPr="004A1469">
        <w:t>dominującym</w:t>
      </w:r>
      <w:r w:rsidR="00550678" w:rsidRPr="004A1469">
        <w:t xml:space="preserve"> stopniu węglowodorów do produkcji energii niesie z</w:t>
      </w:r>
      <w:r w:rsidR="00A0709B" w:rsidRPr="004A1469">
        <w:t>e</w:t>
      </w:r>
      <w:r w:rsidR="00550678" w:rsidRPr="004A1469">
        <w:t xml:space="preserve"> sobą </w:t>
      </w:r>
      <w:r w:rsidR="00A0709B" w:rsidRPr="004A1469">
        <w:t>konsekwencje w postaci</w:t>
      </w:r>
      <w:r w:rsidR="00A73CD4" w:rsidRPr="004A1469">
        <w:t xml:space="preserve"> konieczności</w:t>
      </w:r>
      <w:r w:rsidR="00A0709B" w:rsidRPr="004A1469">
        <w:t xml:space="preserve"> </w:t>
      </w:r>
      <w:r w:rsidR="00A73CD4" w:rsidRPr="004A1469">
        <w:t xml:space="preserve">ponoszenia kosztu zakupu paliw (węgla lub gazu ziemnego) </w:t>
      </w:r>
      <w:r w:rsidR="00183B5D" w:rsidRPr="004A1469">
        <w:t>oraz uprawnień do emisji CO2</w:t>
      </w:r>
      <w:r w:rsidR="003D75EC" w:rsidRPr="004A1469">
        <w:t xml:space="preserve">, które są głównymi czynnikami kosztotwórczymi w procesie </w:t>
      </w:r>
      <w:r w:rsidR="003D75EC" w:rsidRPr="004A1469">
        <w:lastRenderedPageBreak/>
        <w:t>wytwarzania energii</w:t>
      </w:r>
      <w:r w:rsidR="00183B5D" w:rsidRPr="004A1469">
        <w:t>.</w:t>
      </w:r>
      <w:r w:rsidR="003D75EC" w:rsidRPr="004A1469">
        <w:t xml:space="preserve"> </w:t>
      </w:r>
      <w:r w:rsidR="00B5114A" w:rsidRPr="004A1469">
        <w:t>O</w:t>
      </w:r>
      <w:r w:rsidR="0094433B" w:rsidRPr="004A1469">
        <w:t>becn</w:t>
      </w:r>
      <w:r w:rsidR="00B5114A" w:rsidRPr="004A1469">
        <w:t>a</w:t>
      </w:r>
      <w:r w:rsidR="0094433B" w:rsidRPr="004A1469">
        <w:t xml:space="preserve"> struktur</w:t>
      </w:r>
      <w:r w:rsidR="00B5114A" w:rsidRPr="004A1469">
        <w:t>a</w:t>
      </w:r>
      <w:r w:rsidR="0094433B" w:rsidRPr="004A1469">
        <w:t xml:space="preserve"> miksu prowadzi do trwałe</w:t>
      </w:r>
      <w:r w:rsidR="00746353" w:rsidRPr="004A1469">
        <w:t>go utrzymywania się wysokich cen energii dla odbiorców, a tym samym do konieczności ich ochrony przed nadmiernym wzrostem kosztów.</w:t>
      </w:r>
      <w:r w:rsidR="00D629DA" w:rsidRPr="004A1469">
        <w:t xml:space="preserve"> </w:t>
      </w:r>
      <w:r w:rsidR="008C6FBF" w:rsidRPr="004A1469">
        <w:t>Spadek cen surowców energetycznych na świecie w 2023 r.</w:t>
      </w:r>
      <w:r w:rsidR="0094010B">
        <w:t>, choć wciąż niewystarczający,</w:t>
      </w:r>
      <w:r w:rsidR="008C6FBF" w:rsidRPr="004A1469">
        <w:t xml:space="preserve"> wprawdzie sprzyja obniżaniu </w:t>
      </w:r>
      <w:r w:rsidR="0022425C" w:rsidRPr="004A1469">
        <w:t>kosztu</w:t>
      </w:r>
      <w:r w:rsidR="003B4669" w:rsidRPr="004A1469">
        <w:t xml:space="preserve"> wytwarzania</w:t>
      </w:r>
      <w:r w:rsidR="008C6FBF" w:rsidRPr="004A1469">
        <w:t xml:space="preserve"> energii, jednak mechanizm ten</w:t>
      </w:r>
      <w:r w:rsidR="0022425C" w:rsidRPr="004A1469">
        <w:t xml:space="preserve"> również</w:t>
      </w:r>
      <w:r w:rsidR="008C6FBF" w:rsidRPr="004A1469">
        <w:t xml:space="preserve"> </w:t>
      </w:r>
      <w:r w:rsidR="005C719D" w:rsidRPr="004A1469">
        <w:t>działa z istotnym opóźnieniem m.in. ze względu na wysoki poziom zapasów zgromadzonych przez źródła wytwarzania</w:t>
      </w:r>
      <w:r w:rsidR="00657C39" w:rsidRPr="004A1469">
        <w:t xml:space="preserve"> oraz</w:t>
      </w:r>
      <w:r w:rsidR="003B4669" w:rsidRPr="004A1469">
        <w:t xml:space="preserve"> równoległy</w:t>
      </w:r>
      <w:r w:rsidR="00657C39" w:rsidRPr="004A1469">
        <w:t xml:space="preserve"> wzrost kosztów wydobycia w polskim górnictwie</w:t>
      </w:r>
      <w:r w:rsidR="005C719D" w:rsidRPr="004A1469">
        <w:t xml:space="preserve">. </w:t>
      </w:r>
      <w:r w:rsidR="003B4669" w:rsidRPr="004A1469">
        <w:t>Ponadto,</w:t>
      </w:r>
      <w:r w:rsidR="005C719D" w:rsidRPr="004A1469">
        <w:t xml:space="preserve"> ceny uprawnień do emisji CO2</w:t>
      </w:r>
      <w:r w:rsidR="00266B36" w:rsidRPr="004A1469">
        <w:t xml:space="preserve"> (system </w:t>
      </w:r>
      <w:r w:rsidR="00B5114A" w:rsidRPr="004A1469">
        <w:t xml:space="preserve">EU </w:t>
      </w:r>
      <w:r w:rsidR="00266B36" w:rsidRPr="004A1469">
        <w:t>ETS)</w:t>
      </w:r>
      <w:r w:rsidR="005C719D" w:rsidRPr="004A1469">
        <w:t xml:space="preserve"> </w:t>
      </w:r>
      <w:r w:rsidR="003D3B51" w:rsidRPr="004A1469">
        <w:t xml:space="preserve">choć spadły z rekordowego poziomu blisko </w:t>
      </w:r>
      <w:r w:rsidR="00C219D5" w:rsidRPr="004A1469">
        <w:t>96</w:t>
      </w:r>
      <w:r w:rsidR="003D3B51" w:rsidRPr="004A1469">
        <w:t xml:space="preserve"> EUR/tona</w:t>
      </w:r>
      <w:r w:rsidR="00BD4D00" w:rsidRPr="004A1469">
        <w:t xml:space="preserve"> w lutym 2023 r.</w:t>
      </w:r>
      <w:r w:rsidR="00945AA2" w:rsidRPr="004A1469">
        <w:t xml:space="preserve"> do </w:t>
      </w:r>
      <w:r w:rsidR="00BD4D00" w:rsidRPr="004A1469">
        <w:t>poziomu</w:t>
      </w:r>
      <w:r w:rsidR="00945AA2" w:rsidRPr="004A1469">
        <w:t xml:space="preserve"> 70 – 80 EUR/tona</w:t>
      </w:r>
      <w:r w:rsidR="00BD4D00" w:rsidRPr="004A1469">
        <w:t xml:space="preserve"> w chwili obecnej</w:t>
      </w:r>
      <w:r w:rsidR="00945AA2" w:rsidRPr="004A1469">
        <w:t>, to jednak nadal stanowią istotny element składowy cen energii dla odbiorców końcowych</w:t>
      </w:r>
      <w:r w:rsidR="00BD4D00" w:rsidRPr="004A1469">
        <w:t xml:space="preserve">. Dodatkowo, Polska w dalszym ciągu pozostaje </w:t>
      </w:r>
      <w:r w:rsidR="00657C39" w:rsidRPr="004A1469">
        <w:t>uzależniona od importu paliw z zagranicy (przede wszystkim gazu)</w:t>
      </w:r>
      <w:r w:rsidR="00E72C69" w:rsidRPr="004A1469">
        <w:t xml:space="preserve">, co zwiększa ekspozycje na wahania cen </w:t>
      </w:r>
      <w:r w:rsidR="008963E5" w:rsidRPr="004A1469">
        <w:t>na rynkach światowych</w:t>
      </w:r>
      <w:r w:rsidR="00E72C69" w:rsidRPr="004A1469">
        <w:t xml:space="preserve"> oraz ogranicza bezpieczeństwo energetyczne</w:t>
      </w:r>
      <w:r w:rsidR="008963E5" w:rsidRPr="004A1469">
        <w:t xml:space="preserve"> kraju</w:t>
      </w:r>
      <w:r w:rsidR="00E72C69" w:rsidRPr="004A1469">
        <w:t>.</w:t>
      </w:r>
    </w:p>
    <w:p w14:paraId="3782D804" w14:textId="4FB73330" w:rsidR="006D4B5A" w:rsidRPr="004A1469" w:rsidRDefault="006D4B5A" w:rsidP="003069FA">
      <w:pPr>
        <w:spacing w:after="120"/>
        <w:ind w:left="-15" w:right="0" w:firstLine="0"/>
      </w:pPr>
      <w:r w:rsidRPr="004A1469">
        <w:t>Niezależnie od wprowadzanych zmian</w:t>
      </w:r>
      <w:r w:rsidR="00F93E9E">
        <w:t xml:space="preserve"> i niezbędnej transformacji energetycznej w przyszłości</w:t>
      </w:r>
      <w:r w:rsidRPr="004A1469">
        <w:t xml:space="preserve">, ustawa przewiduje </w:t>
      </w:r>
      <w:r w:rsidR="00920582" w:rsidRPr="004A1469">
        <w:t>zwiększone wsparcie dla osób najuboższych w celu eliminacji zjawiska ubóstwa i wykluczenia energetycznego. Proponowane rozwiązania powinny bowiem chronić przede wszystkim osoby najbardziej potrzebujące.</w:t>
      </w:r>
    </w:p>
    <w:p w14:paraId="1D5F28B0" w14:textId="37E28A2B" w:rsidR="00267153" w:rsidRPr="004A1469" w:rsidRDefault="00985A40" w:rsidP="00985A40">
      <w:pPr>
        <w:pStyle w:val="Akapitzlist"/>
        <w:numPr>
          <w:ilvl w:val="0"/>
          <w:numId w:val="9"/>
        </w:numPr>
        <w:spacing w:after="120" w:line="256" w:lineRule="auto"/>
        <w:ind w:left="284" w:right="0" w:hanging="284"/>
        <w:jc w:val="left"/>
        <w:rPr>
          <w:b/>
          <w:bCs/>
        </w:rPr>
      </w:pPr>
      <w:r w:rsidRPr="004A1469">
        <w:rPr>
          <w:b/>
          <w:bCs/>
        </w:rPr>
        <w:t>Okres</w:t>
      </w:r>
      <w:r w:rsidR="00ED01E7" w:rsidRPr="004A1469">
        <w:rPr>
          <w:b/>
          <w:bCs/>
        </w:rPr>
        <w:t xml:space="preserve"> i zasady</w:t>
      </w:r>
      <w:r w:rsidRPr="004A1469">
        <w:rPr>
          <w:b/>
          <w:bCs/>
        </w:rPr>
        <w:t xml:space="preserve"> ochrony.</w:t>
      </w:r>
    </w:p>
    <w:p w14:paraId="75D6A999" w14:textId="5073223D" w:rsidR="0014363E" w:rsidRPr="004A1469" w:rsidRDefault="0014363E" w:rsidP="00E86C75">
      <w:pPr>
        <w:spacing w:after="120"/>
        <w:ind w:left="-15" w:right="0" w:firstLine="0"/>
      </w:pPr>
      <w:r w:rsidRPr="004A1469">
        <w:t>Opisane powyżej przesłanki rynkowe jednoznacznie wskazują</w:t>
      </w:r>
      <w:r w:rsidR="00930149" w:rsidRPr="004A1469">
        <w:t xml:space="preserve"> na</w:t>
      </w:r>
      <w:r w:rsidRPr="004A1469">
        <w:t xml:space="preserve"> dalszą konieczność </w:t>
      </w:r>
      <w:r w:rsidR="00930149" w:rsidRPr="004A1469">
        <w:t xml:space="preserve">ochrony przed nadmiernym wzrostem kosztów </w:t>
      </w:r>
      <w:r w:rsidR="00A401BF" w:rsidRPr="004A1469">
        <w:t xml:space="preserve">dla gospodarstw domowych, </w:t>
      </w:r>
      <w:r w:rsidR="00213E78" w:rsidRPr="004A1469">
        <w:t>podmiotów użyteczności publicznej</w:t>
      </w:r>
      <w:r w:rsidR="00A401BF" w:rsidRPr="004A1469">
        <w:t xml:space="preserve"> oraz jednostek samorządu terytorialnego </w:t>
      </w:r>
      <w:r w:rsidR="00F154AE" w:rsidRPr="004A1469">
        <w:t>w odniesieniu do</w:t>
      </w:r>
      <w:r w:rsidR="00CF2EC9" w:rsidRPr="004A1469">
        <w:t xml:space="preserve"> energii elektrycznej, gazu i ciepła na okres od 1 stycznia 2024 r. do 30 czerwca 2024 r.</w:t>
      </w:r>
    </w:p>
    <w:p w14:paraId="6AC33651" w14:textId="11E252AE" w:rsidR="005A42CF" w:rsidRPr="004A1469" w:rsidRDefault="00A41C1A" w:rsidP="00985A40">
      <w:pPr>
        <w:spacing w:after="120"/>
        <w:ind w:left="-15" w:right="0" w:firstLine="0"/>
      </w:pPr>
      <w:r w:rsidRPr="004A1469">
        <w:t xml:space="preserve">Przewiduje się, że pierwsza połowa 2024 roku przyniesie </w:t>
      </w:r>
      <w:r w:rsidR="00ED54A2" w:rsidRPr="004A1469">
        <w:t xml:space="preserve">dalsze </w:t>
      </w:r>
      <w:r w:rsidRPr="004A1469">
        <w:t>stabilizowanie się czynników kosztowych przedsiębiorstw energetycznych, wycenę na niższym poziomie cen nośników energii elektrycznej</w:t>
      </w:r>
      <w:r w:rsidR="00CF2EC9" w:rsidRPr="004A1469">
        <w:t>, gazu</w:t>
      </w:r>
      <w:r w:rsidRPr="004A1469">
        <w:t xml:space="preserve"> i ciepła.</w:t>
      </w:r>
      <w:r w:rsidR="00985A40" w:rsidRPr="004A1469">
        <w:t xml:space="preserve"> </w:t>
      </w:r>
    </w:p>
    <w:p w14:paraId="0982CB86" w14:textId="17B7E7A2" w:rsidR="005A42CF" w:rsidRPr="004A1469" w:rsidRDefault="00EF71A4" w:rsidP="00511D1D">
      <w:pPr>
        <w:pStyle w:val="Akapitzlist"/>
        <w:numPr>
          <w:ilvl w:val="0"/>
          <w:numId w:val="9"/>
        </w:numPr>
        <w:spacing w:after="120"/>
        <w:ind w:left="284" w:right="0" w:hanging="284"/>
        <w:rPr>
          <w:b/>
          <w:bCs/>
        </w:rPr>
      </w:pPr>
      <w:r w:rsidRPr="004A1469">
        <w:rPr>
          <w:b/>
          <w:bCs/>
        </w:rPr>
        <w:t>Ochrona odbiorców na rynku energii elektrycznej.</w:t>
      </w:r>
    </w:p>
    <w:p w14:paraId="6F506D7C" w14:textId="46274537" w:rsidR="00EF71A4" w:rsidRPr="004A1469" w:rsidRDefault="001C5DDD" w:rsidP="00EF71A4">
      <w:pPr>
        <w:spacing w:after="120"/>
        <w:ind w:right="0" w:firstLine="0"/>
      </w:pPr>
      <w:r w:rsidRPr="00344294">
        <w:t xml:space="preserve">Art. 1 – 2 </w:t>
      </w:r>
      <w:r w:rsidR="00EF71A4" w:rsidRPr="00344294">
        <w:t>projekt</w:t>
      </w:r>
      <w:r w:rsidRPr="00344294">
        <w:t>u</w:t>
      </w:r>
      <w:r w:rsidR="00EF71A4" w:rsidRPr="00344294">
        <w:t xml:space="preserve"> </w:t>
      </w:r>
      <w:r w:rsidRPr="00344294">
        <w:t xml:space="preserve">ustawy </w:t>
      </w:r>
      <w:r w:rsidR="00EF71A4" w:rsidRPr="00344294">
        <w:t>zakłada</w:t>
      </w:r>
      <w:r w:rsidRPr="00344294">
        <w:t>ją</w:t>
      </w:r>
      <w:r w:rsidR="00EF71A4" w:rsidRPr="00344294">
        <w:t xml:space="preserve"> </w:t>
      </w:r>
      <w:r w:rsidR="00DF6B7E" w:rsidRPr="00344294">
        <w:t>ochronę gospodarstw domowych, budynków użyteczności publicznej oraz jednostek samorządu terytorialnego przed nadmiernym wzrostem cen energii elektrycznej</w:t>
      </w:r>
      <w:r w:rsidR="00FC6A71" w:rsidRPr="00344294">
        <w:t>.</w:t>
      </w:r>
      <w:r w:rsidR="00E101BB" w:rsidRPr="00344294">
        <w:t xml:space="preserve"> </w:t>
      </w:r>
      <w:r w:rsidR="00FC6A71" w:rsidRPr="00344294">
        <w:t>B</w:t>
      </w:r>
      <w:r w:rsidR="00E101BB" w:rsidRPr="00344294">
        <w:t xml:space="preserve">azując na </w:t>
      </w:r>
      <w:r w:rsidR="00CC5B04" w:rsidRPr="00344294">
        <w:t>ogólnodostępnych</w:t>
      </w:r>
      <w:r w:rsidR="00E101BB" w:rsidRPr="00344294">
        <w:t xml:space="preserve"> wypowiedziach Prezesa Urzędu Regulacji</w:t>
      </w:r>
      <w:r w:rsidR="00E101BB" w:rsidRPr="004A1469">
        <w:t xml:space="preserve"> Energetyki</w:t>
      </w:r>
      <w:r w:rsidR="00FC6A71" w:rsidRPr="004A1469">
        <w:t xml:space="preserve"> </w:t>
      </w:r>
      <w:r w:rsidR="002C31B7" w:rsidRPr="004A1469">
        <w:t>(„Prezes URE”)</w:t>
      </w:r>
      <w:r w:rsidR="00B5114A" w:rsidRPr="004A1469">
        <w:t xml:space="preserve"> </w:t>
      </w:r>
      <w:r w:rsidR="00FC6A71" w:rsidRPr="004A1469">
        <w:t>podwyżki łącznego rachunku w 2024 roku</w:t>
      </w:r>
      <w:r w:rsidR="00E101BB" w:rsidRPr="004A1469">
        <w:t xml:space="preserve"> mogłyby</w:t>
      </w:r>
      <w:r w:rsidR="00FC6A71" w:rsidRPr="004A1469">
        <w:t xml:space="preserve"> bowiem</w:t>
      </w:r>
      <w:r w:rsidR="00E101BB" w:rsidRPr="004A1469">
        <w:t xml:space="preserve"> sięgnąć poziomu</w:t>
      </w:r>
      <w:r w:rsidR="00ED01E7" w:rsidRPr="004A1469">
        <w:t xml:space="preserve"> </w:t>
      </w:r>
      <w:r w:rsidR="00FC6A71" w:rsidRPr="004A1469">
        <w:t>70%</w:t>
      </w:r>
      <w:r w:rsidR="00ED01E7" w:rsidRPr="004A1469">
        <w:t>,</w:t>
      </w:r>
      <w:r w:rsidR="00CC5B04" w:rsidRPr="004A1469">
        <w:t xml:space="preserve"> </w:t>
      </w:r>
      <w:r w:rsidR="00ED01E7" w:rsidRPr="004A1469">
        <w:t xml:space="preserve">co </w:t>
      </w:r>
      <w:r w:rsidR="0018394C" w:rsidRPr="004A1469">
        <w:t>stanowiłoby poważne</w:t>
      </w:r>
      <w:r w:rsidR="00A77637" w:rsidRPr="004A1469">
        <w:t xml:space="preserve"> i nadmierne</w:t>
      </w:r>
      <w:r w:rsidR="0018394C" w:rsidRPr="004A1469">
        <w:t xml:space="preserve"> obciążenie budżetów</w:t>
      </w:r>
      <w:r w:rsidR="00CC5B04" w:rsidRPr="004A1469">
        <w:t xml:space="preserve"> gospodarstw</w:t>
      </w:r>
      <w:r w:rsidR="0018394C" w:rsidRPr="004A1469">
        <w:t xml:space="preserve"> domowych, placówek o </w:t>
      </w:r>
      <w:r w:rsidR="00A77637" w:rsidRPr="004A1469">
        <w:t xml:space="preserve">społecznym </w:t>
      </w:r>
      <w:r w:rsidR="00863E49" w:rsidRPr="004A1469">
        <w:t>przeznaczeniu</w:t>
      </w:r>
      <w:r w:rsidR="00A77637" w:rsidRPr="004A1469">
        <w:t>, jak również samorządów terytorialnych</w:t>
      </w:r>
      <w:r w:rsidR="00C4193D" w:rsidRPr="004A1469">
        <w:t>.</w:t>
      </w:r>
    </w:p>
    <w:p w14:paraId="70DD35DC" w14:textId="5956A2DB" w:rsidR="00BC3580" w:rsidRPr="004A1469" w:rsidRDefault="003F1966" w:rsidP="00BC3580">
      <w:pPr>
        <w:spacing w:after="120"/>
        <w:ind w:right="0" w:firstLine="0"/>
      </w:pPr>
      <w:r w:rsidRPr="004A1469">
        <w:lastRenderedPageBreak/>
        <w:t>Dlatego p</w:t>
      </w:r>
      <w:r w:rsidR="00041B8C" w:rsidRPr="004A1469">
        <w:t xml:space="preserve">rzedmiotowy projekt przewiduje utrzymanie na okres </w:t>
      </w:r>
      <w:r w:rsidR="00E53AAB" w:rsidRPr="004A1469">
        <w:t xml:space="preserve">od 1 stycznia 2024 r. </w:t>
      </w:r>
      <w:r w:rsidR="00041B8C" w:rsidRPr="004A1469">
        <w:t>do 30 czerwca 2024 roku cen</w:t>
      </w:r>
      <w:r w:rsidR="00BC3580" w:rsidRPr="004A1469">
        <w:t xml:space="preserve"> stosowanych w 2023 </w:t>
      </w:r>
      <w:r w:rsidR="0094010B">
        <w:t xml:space="preserve">tj. w praktyce cen z 2022 r. </w:t>
      </w:r>
    </w:p>
    <w:p w14:paraId="7ABAEBBA" w14:textId="2C2F1121" w:rsidR="00C74D49" w:rsidRPr="004A1469" w:rsidRDefault="00BC3580" w:rsidP="00156827">
      <w:pPr>
        <w:spacing w:after="120"/>
        <w:ind w:right="0" w:firstLine="0"/>
      </w:pPr>
      <w:r w:rsidRPr="004A1469">
        <w:t xml:space="preserve">Szacunkowo, </w:t>
      </w:r>
      <w:r w:rsidR="00CF2EC9" w:rsidRPr="004A1469">
        <w:t xml:space="preserve">maksymalna </w:t>
      </w:r>
      <w:r w:rsidR="0095592C" w:rsidRPr="004A1469">
        <w:t>cen</w:t>
      </w:r>
      <w:r w:rsidR="00CF2EC9" w:rsidRPr="004A1469">
        <w:t>a</w:t>
      </w:r>
      <w:r w:rsidR="0095592C" w:rsidRPr="004A1469">
        <w:t xml:space="preserve"> energii elektrycznej w wysokości </w:t>
      </w:r>
      <w:r w:rsidR="00041B8C" w:rsidRPr="004A1469">
        <w:t xml:space="preserve">412 zł/MWh </w:t>
      </w:r>
      <w:r w:rsidR="00E85FEE" w:rsidRPr="004A1469">
        <w:t xml:space="preserve">będzie </w:t>
      </w:r>
      <w:r w:rsidR="003F1966" w:rsidRPr="004A1469">
        <w:t>obowiązywała</w:t>
      </w:r>
      <w:r w:rsidR="00E85FEE" w:rsidRPr="004A1469">
        <w:t xml:space="preserve"> gospodarstw</w:t>
      </w:r>
      <w:r w:rsidR="003F1966" w:rsidRPr="004A1469">
        <w:t>a</w:t>
      </w:r>
      <w:r w:rsidR="00E85FEE" w:rsidRPr="004A1469">
        <w:t xml:space="preserve"> domow</w:t>
      </w:r>
      <w:r w:rsidR="003F1966" w:rsidRPr="004A1469">
        <w:t>e</w:t>
      </w:r>
      <w:r w:rsidR="00E85FEE" w:rsidRPr="004A1469">
        <w:t xml:space="preserve"> w zależności od poziomu zużycia energii elektrycznej</w:t>
      </w:r>
      <w:r w:rsidR="000F2F66" w:rsidRPr="004A1469">
        <w:t xml:space="preserve">, co pozwoli </w:t>
      </w:r>
      <w:r w:rsidR="00B65BAA" w:rsidRPr="004A1469">
        <w:t>skierować</w:t>
      </w:r>
      <w:r w:rsidR="000F2F66" w:rsidRPr="004A1469">
        <w:t xml:space="preserve"> ochronę</w:t>
      </w:r>
      <w:r w:rsidR="00FD7174" w:rsidRPr="004A1469">
        <w:t xml:space="preserve"> do najbardziej potrzebujących</w:t>
      </w:r>
      <w:r w:rsidR="00E85FEE" w:rsidRPr="004A1469">
        <w:t>.</w:t>
      </w:r>
      <w:r w:rsidR="000F2F66" w:rsidRPr="004A1469">
        <w:t xml:space="preserve"> Z tego względu</w:t>
      </w:r>
      <w:r w:rsidR="0085401E" w:rsidRPr="004A1469">
        <w:t xml:space="preserve"> zakładane jest utrzymanie obecnych limitów zużycia dla odbiorców uprawnionych</w:t>
      </w:r>
      <w:r w:rsidR="00A77637" w:rsidRPr="004A1469">
        <w:t xml:space="preserve"> </w:t>
      </w:r>
      <w:r w:rsidR="00526672" w:rsidRPr="004A1469">
        <w:t>n</w:t>
      </w:r>
      <w:r w:rsidR="00C74D49" w:rsidRPr="004A1469">
        <w:t xml:space="preserve">a okres </w:t>
      </w:r>
      <w:r w:rsidR="00526672" w:rsidRPr="004A1469">
        <w:t xml:space="preserve">od 1 stycznia 2024 r. do 30 czerwca </w:t>
      </w:r>
      <w:r w:rsidR="007249BC" w:rsidRPr="004A1469">
        <w:t>2024 r.</w:t>
      </w:r>
      <w:r w:rsidR="00C74D49" w:rsidRPr="004A1469">
        <w:t>, to jest</w:t>
      </w:r>
      <w:r w:rsidR="000F2F66" w:rsidRPr="004A1469">
        <w:t xml:space="preserve"> obliczone</w:t>
      </w:r>
      <w:r w:rsidR="00A77637" w:rsidRPr="004A1469">
        <w:t xml:space="preserve"> jako 6/12 (</w:t>
      </w:r>
      <w:r w:rsidR="000F2F66" w:rsidRPr="004A1469">
        <w:t>pięćdziesiąt procent</w:t>
      </w:r>
      <w:r w:rsidR="00C74D49" w:rsidRPr="004A1469">
        <w:t>) dotychczas przyjętych limitów</w:t>
      </w:r>
      <w:r w:rsidR="004D6C06" w:rsidRPr="004A1469">
        <w:t>, a więc maksymalnie 1,5 MWh albo</w:t>
      </w:r>
      <w:r w:rsidR="00156827" w:rsidRPr="004A1469">
        <w:t xml:space="preserve"> </w:t>
      </w:r>
      <w:r w:rsidR="003E205A" w:rsidRPr="004A1469">
        <w:t xml:space="preserve">2 MWh </w:t>
      </w:r>
      <w:r w:rsidR="00156827" w:rsidRPr="004A1469">
        <w:t>(</w:t>
      </w:r>
      <w:r w:rsidR="00B4004B">
        <w:t xml:space="preserve">w szczególności </w:t>
      </w:r>
      <w:r w:rsidR="003E205A" w:rsidRPr="004A1469">
        <w:t>dla prowadzących, w dniu wejścia w życie ustawy, gospodarstwo rolne</w:t>
      </w:r>
      <w:r w:rsidR="00C26A01" w:rsidRPr="004A1469">
        <w:t xml:space="preserve"> lub dział specjalny produkcji rolnej</w:t>
      </w:r>
      <w:r w:rsidR="006D7C4B" w:rsidRPr="004A1469">
        <w:t xml:space="preserve"> oraz</w:t>
      </w:r>
      <w:r w:rsidR="0079294F" w:rsidRPr="004A1469">
        <w:t xml:space="preserve"> </w:t>
      </w:r>
      <w:r w:rsidR="00BE03A8" w:rsidRPr="004A1469">
        <w:t>w przypadku odbiorcy uprawnionego posiadającego, w dniu wejścia w życie ustawy, Kartę Dużej Rodziny</w:t>
      </w:r>
      <w:r w:rsidR="001B67D7">
        <w:t xml:space="preserve"> </w:t>
      </w:r>
      <w:r w:rsidR="001B67D7" w:rsidRPr="001B67D7">
        <w:t>jako rodzic rodziny wielodzietnej</w:t>
      </w:r>
      <w:r w:rsidR="00156827" w:rsidRPr="004A1469">
        <w:t>)</w:t>
      </w:r>
      <w:r w:rsidR="00BE03A8" w:rsidRPr="004A1469">
        <w:t>,</w:t>
      </w:r>
      <w:r w:rsidR="00156827" w:rsidRPr="004A1469">
        <w:t xml:space="preserve"> </w:t>
      </w:r>
      <w:r w:rsidR="00EF1799" w:rsidRPr="004A1469">
        <w:t xml:space="preserve">1,8 MWh </w:t>
      </w:r>
      <w:r w:rsidR="00156827" w:rsidRPr="004A1469">
        <w:t>(</w:t>
      </w:r>
      <w:r w:rsidR="001B67D7">
        <w:t xml:space="preserve">w szczególności </w:t>
      </w:r>
      <w:r w:rsidR="00EF1799" w:rsidRPr="004A1469">
        <w:t>w przypadku odbiorcy uprawnionego posiadającego orzeczenie o znacznym lub umiarkowanym stopniu niepełnosprawności</w:t>
      </w:r>
      <w:r w:rsidR="00454F15">
        <w:t xml:space="preserve">, </w:t>
      </w:r>
      <w:r w:rsidR="008B0181">
        <w:t>posiadającego przewidzia</w:t>
      </w:r>
      <w:r w:rsidR="00454F15">
        <w:t>ne prawem orzeczenie lub</w:t>
      </w:r>
      <w:r w:rsidR="00EF1799" w:rsidRPr="004A1469">
        <w:t xml:space="preserve"> </w:t>
      </w:r>
      <w:r w:rsidR="00EF1799" w:rsidRPr="00A925A3">
        <w:t>zamieszkującego wspólnie z osobą posiadającą orzeczenie o znacznym lub umiarkowanym stopniu niepełnosprawności</w:t>
      </w:r>
      <w:r w:rsidR="00156827" w:rsidRPr="00A925A3">
        <w:t>)</w:t>
      </w:r>
      <w:r w:rsidR="00FD7174" w:rsidRPr="00A925A3">
        <w:t>, a także</w:t>
      </w:r>
      <w:r w:rsidR="005149C1" w:rsidRPr="00A925A3">
        <w:t xml:space="preserve"> </w:t>
      </w:r>
      <w:r w:rsidR="006D7C4B" w:rsidRPr="00A925A3">
        <w:t>dedykowanej ceny</w:t>
      </w:r>
      <w:r w:rsidR="00FD7174" w:rsidRPr="00A925A3">
        <w:t xml:space="preserve"> </w:t>
      </w:r>
      <w:r w:rsidR="00156827" w:rsidRPr="00A925A3">
        <w:t xml:space="preserve">dla </w:t>
      </w:r>
      <w:r w:rsidR="004816F6" w:rsidRPr="00A925A3">
        <w:t>rodzinnych ogrodów działkowych.</w:t>
      </w:r>
      <w:r w:rsidR="00920582" w:rsidRPr="00A925A3">
        <w:t xml:space="preserve"> Dodatkowo, wprowadzono ograniczenie cen energii elektrycznej dla odbiorców</w:t>
      </w:r>
      <w:r w:rsidR="00A925A3" w:rsidRPr="00A925A3">
        <w:t xml:space="preserve"> uprawnionych</w:t>
      </w:r>
      <w:r w:rsidR="00920582" w:rsidRPr="00A925A3">
        <w:t>, którzy zawarli umowy z gwarancją stałej ceny</w:t>
      </w:r>
      <w:r w:rsidR="00A925A3" w:rsidRPr="00A925A3">
        <w:t xml:space="preserve">. Brak objęcia tych odbiorców ochroną </w:t>
      </w:r>
      <w:r w:rsidR="00654E33" w:rsidRPr="00A925A3">
        <w:t>stanowiło wyraźną dyskryminację tej grupy odbiorców wobec pozostałych i powodowało liczne przypadki</w:t>
      </w:r>
      <w:r w:rsidR="00654E33" w:rsidRPr="004A1469">
        <w:t xml:space="preserve"> wykorzystywania takiej sytuacji przez przedsiębiorstwa energetyczne do zwiększania opłat takim odbiorcom.</w:t>
      </w:r>
    </w:p>
    <w:p w14:paraId="6FAE8F86" w14:textId="02E1FE67" w:rsidR="00920582" w:rsidRPr="004A1469" w:rsidRDefault="00920582" w:rsidP="00156827">
      <w:pPr>
        <w:spacing w:after="120"/>
        <w:ind w:right="0" w:firstLine="0"/>
      </w:pPr>
      <w:r w:rsidRPr="004A1469">
        <w:t xml:space="preserve">W zakresie stawek za usługi dystrybucyjne przewiduje się utrzymanie ochrony odbiorców w gospodarstwach domowych do poziomów zużycia wskazanych powyżej w okresie </w:t>
      </w:r>
      <w:r w:rsidR="00D95101">
        <w:br/>
      </w:r>
      <w:r w:rsidR="00E53AAB" w:rsidRPr="004A1469">
        <w:t xml:space="preserve">od 1 stycznia 2024 r. </w:t>
      </w:r>
      <w:r w:rsidRPr="004A1469">
        <w:t xml:space="preserve">do 30 czerwca 2024 r. </w:t>
      </w:r>
    </w:p>
    <w:p w14:paraId="435C22A5" w14:textId="24B0F515" w:rsidR="00601D67" w:rsidRPr="004A1469" w:rsidRDefault="00C4193D" w:rsidP="00C4193D">
      <w:pPr>
        <w:spacing w:after="120"/>
        <w:ind w:right="0" w:firstLine="0"/>
      </w:pPr>
      <w:r w:rsidRPr="004A1469">
        <w:t xml:space="preserve">W odniesieniu do odbiorców w gospodarstwie domowym przekraczających w zadanym okresie </w:t>
      </w:r>
      <w:r w:rsidR="00E53AAB" w:rsidRPr="004A1469">
        <w:t xml:space="preserve">od 1 stycznia 2024 r. </w:t>
      </w:r>
      <w:r w:rsidRPr="004A1469">
        <w:t xml:space="preserve">do 30 czerwca 2024 r. </w:t>
      </w:r>
      <w:r w:rsidR="00D95101">
        <w:t>powyższe limity</w:t>
      </w:r>
      <w:r w:rsidRPr="004A1469">
        <w:t xml:space="preserve"> oraz jednostek samorządu terytorialnego i podmiotów użyteczności publicznej</w:t>
      </w:r>
      <w:r w:rsidR="006D7C4B" w:rsidRPr="004A1469">
        <w:t xml:space="preserve"> (niezależnie od zużycia)</w:t>
      </w:r>
      <w:r w:rsidRPr="004A1469">
        <w:t xml:space="preserve"> przewiduje się utrzymanie na dotychczasowym poziomie ceny maksymalnej 693 zł/MWh. </w:t>
      </w:r>
      <w:r w:rsidR="0049551C" w:rsidRPr="004A1469">
        <w:t xml:space="preserve">Celem utrzymania ceny maksymalnej </w:t>
      </w:r>
      <w:r w:rsidR="00601D67" w:rsidRPr="004A1469">
        <w:t>jest wsparcie w szczególności odbiorców wykorzystujących</w:t>
      </w:r>
      <w:r w:rsidR="006D7C4B" w:rsidRPr="004A1469">
        <w:t xml:space="preserve"> </w:t>
      </w:r>
      <w:r w:rsidRPr="004A1469">
        <w:t xml:space="preserve">energię elektryczną do ogrzewania (m.in. z użyciem pomp ciepła). </w:t>
      </w:r>
      <w:r w:rsidR="00334C8E" w:rsidRPr="004A1469">
        <w:t>Rozwiązanie to będzie</w:t>
      </w:r>
      <w:r w:rsidR="006D7C4B" w:rsidRPr="004A1469">
        <w:t xml:space="preserve"> zatem</w:t>
      </w:r>
      <w:r w:rsidR="00334C8E" w:rsidRPr="004A1469">
        <w:t xml:space="preserve"> wspierać osoby, które </w:t>
      </w:r>
      <w:r w:rsidR="006652C6" w:rsidRPr="004A1469">
        <w:t>decydują</w:t>
      </w:r>
      <w:r w:rsidR="00CB250A" w:rsidRPr="004A1469">
        <w:t xml:space="preserve"> się na ogrzewanie domów w przyjazny środowisku sposób</w:t>
      </w:r>
      <w:r w:rsidR="006D7C4B" w:rsidRPr="004A1469">
        <w:t xml:space="preserve"> </w:t>
      </w:r>
      <w:r w:rsidR="00540524" w:rsidRPr="004A1469">
        <w:t>i zachęcać</w:t>
      </w:r>
      <w:r w:rsidR="006E6C32" w:rsidRPr="004A1469">
        <w:t xml:space="preserve"> do</w:t>
      </w:r>
      <w:r w:rsidR="00540524" w:rsidRPr="004A1469">
        <w:t xml:space="preserve"> inwestycji</w:t>
      </w:r>
      <w:r w:rsidR="006E6C32" w:rsidRPr="004A1469">
        <w:t xml:space="preserve"> w odnawialne źródła energii</w:t>
      </w:r>
      <w:r w:rsidR="00540524" w:rsidRPr="004A1469">
        <w:t xml:space="preserve"> w przyszłości. </w:t>
      </w:r>
      <w:r w:rsidR="00B5114A" w:rsidRPr="004A1469">
        <w:t>W</w:t>
      </w:r>
      <w:r w:rsidR="00654E33" w:rsidRPr="004A1469">
        <w:t xml:space="preserve">prowadzono </w:t>
      </w:r>
      <w:r w:rsidR="00B5114A" w:rsidRPr="004A1469">
        <w:t xml:space="preserve">również </w:t>
      </w:r>
      <w:r w:rsidR="00654E33" w:rsidRPr="004A1469">
        <w:t>ograniczenie cen energii elektrycznej dla odbiorców, którzy zawarli umowy z gwarancją stałej ceny.</w:t>
      </w:r>
    </w:p>
    <w:p w14:paraId="6ADA9DCF" w14:textId="2E09E33B" w:rsidR="001A5373" w:rsidRPr="0094010B" w:rsidRDefault="008F3F0D" w:rsidP="001A5373">
      <w:pPr>
        <w:spacing w:after="120"/>
        <w:ind w:right="0" w:firstLine="0"/>
      </w:pPr>
      <w:r w:rsidRPr="004A1469">
        <w:lastRenderedPageBreak/>
        <w:t>W ustawach wprowadzono dodatkowo przepisy</w:t>
      </w:r>
      <w:r w:rsidR="001A5373" w:rsidRPr="004A1469">
        <w:t xml:space="preserve">, które w przypadku zmiany zewnętrznych warunków wykonywania działalności gospodarczej, które wpływają na spadek cen energii </w:t>
      </w:r>
      <w:r w:rsidR="001A5373" w:rsidRPr="0094010B">
        <w:t>elektrycznej wynikających z taryf zatwierdzonych na 2024 r. lub część tego roku, umożliwiają obniżenie cen energii elektrycznej ustalonych w taryfie, przewidując również odpowiednie instrumenty działania w tym zakresie dla Prezesa URE.</w:t>
      </w:r>
    </w:p>
    <w:p w14:paraId="487EEB94" w14:textId="0CE7C0CC" w:rsidR="00C4193D" w:rsidRPr="004A1469" w:rsidRDefault="00C4193D" w:rsidP="00C4193D">
      <w:pPr>
        <w:spacing w:after="120"/>
        <w:ind w:right="0" w:firstLine="0"/>
      </w:pPr>
      <w:r w:rsidRPr="0094010B">
        <w:t xml:space="preserve">Mając na uwadze powyższe zmiany, projekt przewiduje utrzymanie systemu i mechanizmu rekompensat dla przedsiębiorstw energetycznych w </w:t>
      </w:r>
      <w:r w:rsidR="00E53AAB" w:rsidRPr="0094010B">
        <w:t>okresie 1 stycznia 2024 r. do 3</w:t>
      </w:r>
      <w:r w:rsidR="00A925A3" w:rsidRPr="0094010B">
        <w:t xml:space="preserve">0 czerwca  </w:t>
      </w:r>
      <w:r w:rsidRPr="0094010B">
        <w:t>2024 r</w:t>
      </w:r>
      <w:r w:rsidR="00E53AAB" w:rsidRPr="0094010B">
        <w:t>.</w:t>
      </w:r>
      <w:r w:rsidR="00E75F67" w:rsidRPr="0094010B">
        <w:t xml:space="preserve">, przy czym w przypadku braku zatwierdzenia taryf na 2024 przez Prezesa URE, do chwili ich zatwierdzenia rekompensaty będą wypłacane </w:t>
      </w:r>
      <w:r w:rsidR="00F564B8" w:rsidRPr="0094010B">
        <w:t>w wysokości</w:t>
      </w:r>
      <w:r w:rsidR="00E75F67" w:rsidRPr="0094010B">
        <w:t xml:space="preserve"> </w:t>
      </w:r>
      <w:r w:rsidR="00CF2EC9" w:rsidRPr="0094010B">
        <w:t>60</w:t>
      </w:r>
      <w:r w:rsidR="00E75F67" w:rsidRPr="0094010B">
        <w:t>% cen stosowanych w 2023 r.</w:t>
      </w:r>
    </w:p>
    <w:p w14:paraId="36C3C8F3" w14:textId="181A6CA5" w:rsidR="00EF71A4" w:rsidRPr="004A1469" w:rsidRDefault="0063156F" w:rsidP="00511D1D">
      <w:pPr>
        <w:pStyle w:val="Akapitzlist"/>
        <w:numPr>
          <w:ilvl w:val="0"/>
          <w:numId w:val="9"/>
        </w:numPr>
        <w:spacing w:after="120"/>
        <w:ind w:left="284" w:right="0" w:hanging="284"/>
        <w:rPr>
          <w:b/>
          <w:bCs/>
        </w:rPr>
      </w:pPr>
      <w:r w:rsidRPr="004A1469">
        <w:rPr>
          <w:b/>
          <w:bCs/>
        </w:rPr>
        <w:t>Ochrona odbiorców na rynku gazu.</w:t>
      </w:r>
    </w:p>
    <w:p w14:paraId="147CCEA7" w14:textId="7048118F" w:rsidR="004C2EB6" w:rsidRPr="004A1469" w:rsidRDefault="001C5DDD" w:rsidP="004D4417">
      <w:pPr>
        <w:spacing w:after="120"/>
        <w:ind w:left="-15" w:right="0" w:firstLine="0"/>
      </w:pPr>
      <w:r w:rsidRPr="00344294">
        <w:t xml:space="preserve">Art. 3 </w:t>
      </w:r>
      <w:r w:rsidR="004C2EB6" w:rsidRPr="00344294">
        <w:t>projekt</w:t>
      </w:r>
      <w:r w:rsidRPr="00344294">
        <w:t xml:space="preserve">u ustawy </w:t>
      </w:r>
      <w:r w:rsidR="004C2EB6" w:rsidRPr="00344294">
        <w:t>wprowadza cenę maksymalną paliw gazowych</w:t>
      </w:r>
      <w:r w:rsidR="00DF5B04" w:rsidRPr="00344294">
        <w:t xml:space="preserve"> (200,17 zł/MWh)</w:t>
      </w:r>
      <w:r w:rsidR="004C2EB6" w:rsidRPr="00344294">
        <w:t xml:space="preserve"> oraz</w:t>
      </w:r>
      <w:r w:rsidR="004C2EB6" w:rsidRPr="004A1469">
        <w:t xml:space="preserve"> stawki opłat za świadczenie usług dystrybucji paliw gazowych stosowane w rozliczeniach z niektórymi odbiorcami paliw gazowych </w:t>
      </w:r>
      <w:r w:rsidR="00B5114A" w:rsidRPr="004A1469">
        <w:t>w okresie 1 stycznia 2024 r. do 30 czerwca 2024 r</w:t>
      </w:r>
      <w:r w:rsidR="004C2EB6" w:rsidRPr="004A1469">
        <w:t>. Zakres podmiotów objętych ochroną – podmiotów uprawnionych – nie uległ zmianie. Pozostają nimi gospodarstwa domowe, wspólnoty i spółdzielnie mieszkaniowe, podmioty zobowiązane do dostaw na potrzeby mieszkaniowe i użyteczności oraz podmiotów użyteczności publicznej. Cena maksymalna za gaz</w:t>
      </w:r>
      <w:r w:rsidR="00CF2EC9" w:rsidRPr="004A1469">
        <w:t xml:space="preserve"> pozostanie bez zmian</w:t>
      </w:r>
      <w:r w:rsidR="004C2EB6" w:rsidRPr="004A1469">
        <w:t xml:space="preserve">. Podmioty objęte ochroną będą uiszczać opłatę za usługi dystrybucyjne w </w:t>
      </w:r>
      <w:r w:rsidR="00E53AAB" w:rsidRPr="004A1469">
        <w:t xml:space="preserve">okresie 1 stycznia 2024 r. do 30 czerwca </w:t>
      </w:r>
      <w:r w:rsidR="004C2EB6" w:rsidRPr="004A1469">
        <w:t>2024 r</w:t>
      </w:r>
      <w:r w:rsidR="00E53AAB" w:rsidRPr="004A1469">
        <w:t>.</w:t>
      </w:r>
      <w:r w:rsidR="004C2EB6" w:rsidRPr="004A1469">
        <w:t xml:space="preserve"> na poziomie wynikającym z taryfy zatwierdzonej przez Prezesa URE dla operatora systemu dystrybucyjnego na 2022 rok.</w:t>
      </w:r>
      <w:r w:rsidR="0007461C" w:rsidRPr="004A1469">
        <w:t xml:space="preserve"> </w:t>
      </w:r>
      <w:r w:rsidR="004C2EB6" w:rsidRPr="004A1469">
        <w:t>Z powyższego obowiązku wyłączeni są sprzedawcy, którzy ustalili w ramach zawartych ze swoimi odbiorcami umów albo zatwierdzonych taryf na 2024 r., ceny korzystniejsze niż cena maksymalna.</w:t>
      </w:r>
    </w:p>
    <w:p w14:paraId="13108FD9" w14:textId="20BB053F" w:rsidR="004C2EB6" w:rsidRPr="004A1469" w:rsidRDefault="004C2EB6" w:rsidP="004C2EB6">
      <w:pPr>
        <w:spacing w:after="120"/>
        <w:ind w:left="-15" w:right="0" w:firstLine="0"/>
      </w:pPr>
      <w:r w:rsidRPr="004A1469">
        <w:t xml:space="preserve">W projekcie utrzymano na </w:t>
      </w:r>
      <w:r w:rsidR="00E53AAB" w:rsidRPr="004A1469">
        <w:t xml:space="preserve">okres od 1 stycznia </w:t>
      </w:r>
      <w:r w:rsidRPr="004A1469">
        <w:t>2024 r</w:t>
      </w:r>
      <w:r w:rsidR="00E53AAB" w:rsidRPr="004A1469">
        <w:t xml:space="preserve">. do 30 czerwca 2024 r. </w:t>
      </w:r>
      <w:r w:rsidRPr="004A1469">
        <w:t xml:space="preserve">wsparcie dla odbiorców paliw gazowych w gospodarstwach domowych o najniższych dochodach, którzy jako główne źródło ogrzewania wykorzystują kocioł na paliwa gazowe, wpisany lub zgłoszony do centralnej ewidencji emisyjności budynków, </w:t>
      </w:r>
      <w:r w:rsidR="004D4417" w:rsidRPr="004A1469">
        <w:t>w</w:t>
      </w:r>
      <w:r w:rsidRPr="004A1469">
        <w:t xml:space="preserve"> postaci refundacji podatku VAT. </w:t>
      </w:r>
    </w:p>
    <w:p w14:paraId="7D6B2DA1" w14:textId="31DC0D9B" w:rsidR="004C2EB6" w:rsidRPr="004A1469" w:rsidRDefault="004C2EB6" w:rsidP="004C2EB6">
      <w:pPr>
        <w:spacing w:after="120"/>
        <w:ind w:left="-15" w:right="0" w:firstLine="0"/>
      </w:pPr>
      <w:r w:rsidRPr="004A1469">
        <w:t>Projekt przewiduje utrzymanie mechanizmu zamrożenia cen gazu dla piekarni i cukierni</w:t>
      </w:r>
      <w:r w:rsidR="00B5114A" w:rsidRPr="004A1469">
        <w:t xml:space="preserve">, które dysponują limitem pomocy de minimis, w okresie 1 stycznia </w:t>
      </w:r>
      <w:r w:rsidRPr="004A1469">
        <w:t xml:space="preserve">2024 </w:t>
      </w:r>
      <w:r w:rsidR="00B5114A" w:rsidRPr="004A1469">
        <w:t xml:space="preserve">r. do 30 czerwca 2024 r. </w:t>
      </w:r>
      <w:r w:rsidRPr="004A1469">
        <w:t>na poziomie cen maksymalnych określonych na 202</w:t>
      </w:r>
      <w:r w:rsidR="00CF2EC9" w:rsidRPr="004A1469">
        <w:t>3</w:t>
      </w:r>
      <w:r w:rsidRPr="004A1469">
        <w:t xml:space="preserve"> rok.</w:t>
      </w:r>
    </w:p>
    <w:p w14:paraId="1961CAE9" w14:textId="2DE498F7" w:rsidR="00E75F67" w:rsidRPr="004A1469" w:rsidRDefault="004C2EB6" w:rsidP="004C2EB6">
      <w:pPr>
        <w:spacing w:after="120"/>
        <w:ind w:left="-15" w:right="0" w:firstLine="0"/>
      </w:pPr>
      <w:r w:rsidRPr="004A1469">
        <w:t xml:space="preserve">Mając na uwadze powyższe zmiany, pozostawiono system i mechanizm rekompensat dla podmiotów uprawnionych (przedsiębiorstw energetycznych) z tytułu stosowania ceny </w:t>
      </w:r>
      <w:r w:rsidRPr="004A1469">
        <w:lastRenderedPageBreak/>
        <w:t>maksymalnej paliw gazowych lub stawek opłat za świadczenie usług dystrybucji paliw gazowych</w:t>
      </w:r>
      <w:r w:rsidR="0094010B">
        <w:t xml:space="preserve"> w okresie 1 stycznia 2024 r. do 30 czerwca 2024 r.</w:t>
      </w:r>
      <w:r w:rsidR="00E75F67" w:rsidRPr="004A1469">
        <w:t>, przy czym w przypadku braku zatwierdzenia taryf na 2024</w:t>
      </w:r>
      <w:r w:rsidR="00526672" w:rsidRPr="004A1469">
        <w:t xml:space="preserve"> r.</w:t>
      </w:r>
      <w:r w:rsidR="00E75F67" w:rsidRPr="004A1469">
        <w:t xml:space="preserve"> przez Prezesa URE, do chwili ich zatwierdzenia rekompensaty będą wypłacane </w:t>
      </w:r>
      <w:r w:rsidR="00905FB1" w:rsidRPr="004A1469">
        <w:t>w wysokości</w:t>
      </w:r>
      <w:r w:rsidR="00E75F67" w:rsidRPr="004A1469">
        <w:t xml:space="preserve"> </w:t>
      </w:r>
      <w:r w:rsidR="00CF2EC9" w:rsidRPr="004A1469">
        <w:t xml:space="preserve">50% </w:t>
      </w:r>
      <w:r w:rsidR="00E75F67" w:rsidRPr="004A1469">
        <w:t>cen stosowanych w 2023 r.</w:t>
      </w:r>
    </w:p>
    <w:p w14:paraId="2373D23A" w14:textId="7D68D3F0" w:rsidR="004C2EB6" w:rsidRPr="004A1469" w:rsidRDefault="004C2EB6" w:rsidP="00E75F67">
      <w:pPr>
        <w:spacing w:after="120"/>
        <w:ind w:left="-15" w:right="0" w:firstLine="0"/>
      </w:pPr>
      <w:r w:rsidRPr="004A1469">
        <w:t xml:space="preserve">Projekt przewiduje wprowadzenie </w:t>
      </w:r>
      <w:r w:rsidR="00E75F67" w:rsidRPr="004A1469">
        <w:t xml:space="preserve">gazowej składki </w:t>
      </w:r>
      <w:r w:rsidRPr="004A1469">
        <w:t xml:space="preserve">na Fundusz Wypłaty Różnicy Ceny </w:t>
      </w:r>
      <w:r w:rsidR="00E75F67" w:rsidRPr="004A1469">
        <w:t>za 2022 r.</w:t>
      </w:r>
      <w:r w:rsidR="00950D4C" w:rsidRPr="004A1469">
        <w:t xml:space="preserve"> na podobnych zasadach jak gazowy odpis na Fundusz Wypłaty Różnicy Ceny za 2023 r.</w:t>
      </w:r>
    </w:p>
    <w:p w14:paraId="497793A7" w14:textId="01AF13E6" w:rsidR="005A42CF" w:rsidRPr="004A1469" w:rsidRDefault="00E964E4" w:rsidP="00E964E4">
      <w:pPr>
        <w:pStyle w:val="Akapitzlist"/>
        <w:numPr>
          <w:ilvl w:val="0"/>
          <w:numId w:val="9"/>
        </w:numPr>
        <w:spacing w:after="120"/>
        <w:ind w:left="284" w:right="0" w:hanging="284"/>
        <w:rPr>
          <w:b/>
          <w:bCs/>
        </w:rPr>
      </w:pPr>
      <w:r w:rsidRPr="004A1469">
        <w:rPr>
          <w:b/>
          <w:bCs/>
        </w:rPr>
        <w:t>Ochrona odbiorców na rynku ciepła.</w:t>
      </w:r>
    </w:p>
    <w:p w14:paraId="05DD2445" w14:textId="008CA41B" w:rsidR="00950D4C" w:rsidRPr="004A1469" w:rsidRDefault="001C5DDD" w:rsidP="00DD3476">
      <w:pPr>
        <w:spacing w:after="120"/>
        <w:ind w:left="-15" w:right="0" w:firstLine="0"/>
      </w:pPr>
      <w:r w:rsidRPr="00344294">
        <w:t xml:space="preserve">Art. 4 </w:t>
      </w:r>
      <w:r w:rsidR="00DD3476" w:rsidRPr="00344294">
        <w:t>projekt</w:t>
      </w:r>
      <w:r w:rsidR="00CB4D69" w:rsidRPr="00344294">
        <w:t>u</w:t>
      </w:r>
      <w:r w:rsidR="00DD3476" w:rsidRPr="00344294">
        <w:t xml:space="preserve"> </w:t>
      </w:r>
      <w:r w:rsidRPr="00344294">
        <w:t xml:space="preserve">ustawy </w:t>
      </w:r>
      <w:r w:rsidR="00DD3476" w:rsidRPr="00344294">
        <w:t xml:space="preserve">przewiduje utrzymanie na okres </w:t>
      </w:r>
      <w:r w:rsidR="00E53AAB" w:rsidRPr="00344294">
        <w:t xml:space="preserve">od 1 stycznia 2024 r. </w:t>
      </w:r>
      <w:r w:rsidR="00DD3476" w:rsidRPr="00344294">
        <w:t>do 30 czerwca</w:t>
      </w:r>
      <w:r w:rsidR="00DD3476" w:rsidRPr="004A1469">
        <w:t xml:space="preserve"> 2024 r</w:t>
      </w:r>
      <w:r w:rsidR="00E53AAB" w:rsidRPr="004A1469">
        <w:t>.</w:t>
      </w:r>
      <w:r w:rsidR="00DD3476" w:rsidRPr="004A1469">
        <w:t xml:space="preserve"> </w:t>
      </w:r>
      <w:r w:rsidR="00950D4C" w:rsidRPr="004A1469">
        <w:t>przewidzianych obecnie mechanizmów ograniczenia wysokości cen za ciepło i jego dostawę do odbiorców zarówno w systemach ciepłowniczych</w:t>
      </w:r>
      <w:r w:rsidR="004C29E0" w:rsidRPr="004A1469">
        <w:t xml:space="preserve"> taryfowanych, </w:t>
      </w:r>
      <w:r w:rsidR="00BA7837" w:rsidRPr="004A1469">
        <w:t xml:space="preserve">w </w:t>
      </w:r>
      <w:r w:rsidR="00950D4C" w:rsidRPr="004A1469">
        <w:t xml:space="preserve">których ceny i stawki opłat podlegają zatwierdzeniu przez Prezesa URE, jak i </w:t>
      </w:r>
      <w:r w:rsidR="004C29E0" w:rsidRPr="004A1469">
        <w:t>zwolnionych z obowiązku przedkładania taryf dla ciepła do zatwierdzania Prezesowi URE. Ograniczenie to będzie wynikało z zastosowania najniższej z trzech cen:</w:t>
      </w:r>
    </w:p>
    <w:p w14:paraId="78CBBC92" w14:textId="6550B110" w:rsidR="004C29E0" w:rsidRPr="004A1469" w:rsidRDefault="004C29E0" w:rsidP="004C29E0">
      <w:pPr>
        <w:pStyle w:val="Akapitzlist"/>
        <w:numPr>
          <w:ilvl w:val="0"/>
          <w:numId w:val="15"/>
        </w:numPr>
        <w:spacing w:after="120"/>
        <w:ind w:right="0"/>
      </w:pPr>
      <w:r w:rsidRPr="004A1469">
        <w:t>cen i stawek opłat wynikających ze stosowanych taryf</w:t>
      </w:r>
      <w:r w:rsidR="00905FB1" w:rsidRPr="004A1469">
        <w:t>,</w:t>
      </w:r>
    </w:p>
    <w:p w14:paraId="3B0E2500" w14:textId="59A39603" w:rsidR="004C29E0" w:rsidRPr="004A1469" w:rsidRDefault="004C29E0" w:rsidP="004C29E0">
      <w:pPr>
        <w:pStyle w:val="Akapitzlist"/>
        <w:numPr>
          <w:ilvl w:val="0"/>
          <w:numId w:val="15"/>
        </w:numPr>
        <w:spacing w:after="120"/>
        <w:ind w:right="0"/>
      </w:pPr>
      <w:r w:rsidRPr="004A1469">
        <w:t>maksymalnych cen i stawek opłat ustalonych przez Prezesa URE na dzień 30 września 2022 r. powiększone o 40%</w:t>
      </w:r>
      <w:r w:rsidR="00905FB1" w:rsidRPr="004A1469">
        <w:t>,</w:t>
      </w:r>
    </w:p>
    <w:p w14:paraId="3A2CDAF9" w14:textId="71D0128C" w:rsidR="004C29E0" w:rsidRPr="004A1469" w:rsidRDefault="004C29E0" w:rsidP="004C29E0">
      <w:pPr>
        <w:pStyle w:val="Akapitzlist"/>
        <w:numPr>
          <w:ilvl w:val="0"/>
          <w:numId w:val="15"/>
        </w:numPr>
        <w:spacing w:after="120"/>
        <w:ind w:right="0"/>
      </w:pPr>
      <w:r w:rsidRPr="004A1469">
        <w:t>cen ciepła wynikających ze średniej ceny wytwarzania ciepła z rekompensatą obliczonej na podstawie określonych ustawowo cen wytwarzania ciepła dla danego źródła ciepła (gaz, olej, węgiel, OZE) powiększonych o aktualnie stosowane stawki taryfowe opłat dystrybucji ciepła</w:t>
      </w:r>
      <w:r w:rsidR="00E53AAB" w:rsidRPr="004A1469">
        <w:t>.</w:t>
      </w:r>
    </w:p>
    <w:p w14:paraId="64F3D58C" w14:textId="1502B7F0" w:rsidR="004C29E0" w:rsidRPr="004A1469" w:rsidRDefault="004C29E0" w:rsidP="00DD3476">
      <w:pPr>
        <w:spacing w:after="120"/>
        <w:ind w:left="-15" w:right="0" w:firstLine="0"/>
      </w:pPr>
      <w:r w:rsidRPr="004A1469">
        <w:t>Zakres podmiotów objętych ochroną – podmiotów uprawnionych – nie uległ zmianie. Pozostają nimi gospodarstwa domowe, wspólnoty i spółdzielnie mieszkaniowe, podmioty zobowiązane do dostaw na potrzeby mieszkaniowe i użyteczności oraz podmiotów użyteczności publicznej</w:t>
      </w:r>
      <w:r w:rsidR="00DD3476" w:rsidRPr="004A1469">
        <w:t>.</w:t>
      </w:r>
    </w:p>
    <w:p w14:paraId="3B2F58AB" w14:textId="7ED6548E" w:rsidR="00E964E4" w:rsidRPr="004A1469" w:rsidRDefault="00DD3476" w:rsidP="00DD3476">
      <w:pPr>
        <w:spacing w:after="120"/>
        <w:ind w:left="-15" w:right="0" w:firstLine="0"/>
      </w:pPr>
      <w:r w:rsidRPr="004A1469">
        <w:t>Projekt przewiduje mechanizm wypłaty i rozliczenia świadczenia wyrównawczego dla przedsiębiorstw energetycznych z tytułu stosowania maksymalnej ceny dostawy, za okres od dnia 1 stycznia 2024 r. do dnia 30 czerwca 2024 r.</w:t>
      </w:r>
    </w:p>
    <w:p w14:paraId="08DFB3E1" w14:textId="41ADE21C" w:rsidR="004C29E0" w:rsidRPr="004A1469" w:rsidRDefault="004C29E0" w:rsidP="00DD3476">
      <w:pPr>
        <w:spacing w:after="120"/>
        <w:ind w:left="-15" w:right="0" w:firstLine="0"/>
      </w:pPr>
      <w:r w:rsidRPr="004A1469">
        <w:t>Przepisy ustawy zakładają również zmianę zasad w zakresie rozliczenia końcowego mechanizmów wsparcia (rekompensat i wyrównań)</w:t>
      </w:r>
      <w:r w:rsidR="00E60A0F" w:rsidRPr="004A1469">
        <w:t xml:space="preserve"> dla przedsiębiorstw ciepłowniczych</w:t>
      </w:r>
      <w:r w:rsidRPr="004A1469">
        <w:t>, które kończą się w dniu 31 grudnia 2023 r.</w:t>
      </w:r>
      <w:r w:rsidR="00E60A0F" w:rsidRPr="004A1469">
        <w:t xml:space="preserve">, które będą następnie miały zastosowanie również do </w:t>
      </w:r>
      <w:r w:rsidR="00E53AAB" w:rsidRPr="004A1469">
        <w:t xml:space="preserve">okresu od 1 stycznia 2024 r. do 30 czerwca </w:t>
      </w:r>
      <w:r w:rsidR="00E60A0F" w:rsidRPr="004A1469">
        <w:t>2024 r.</w:t>
      </w:r>
      <w:r w:rsidRPr="004A1469">
        <w:t xml:space="preserve"> Obecn</w:t>
      </w:r>
      <w:r w:rsidR="00E60A0F" w:rsidRPr="004A1469">
        <w:t xml:space="preserve">ie </w:t>
      </w:r>
      <w:r w:rsidR="00C93CF4" w:rsidRPr="004A1469">
        <w:t xml:space="preserve">obowiązujące </w:t>
      </w:r>
      <w:r w:rsidRPr="004A1469">
        <w:t>przepisy są bowiem zaprojektowane w taki sposób, że wsparcie udzielane odbiorcom uprawnionym i kwoty otrzymywane przez przedsiębiorstw</w:t>
      </w:r>
      <w:r w:rsidR="00B5114A" w:rsidRPr="004A1469">
        <w:t>a</w:t>
      </w:r>
      <w:r w:rsidRPr="004A1469">
        <w:t xml:space="preserve"> ciepłownicze nie są sobie równe, co sprawia, że </w:t>
      </w:r>
      <w:r w:rsidRPr="004A1469">
        <w:lastRenderedPageBreak/>
        <w:t>przedsiębiorstwa w nieuzasadniony sposób ponoszą stratę lub uzyskują zysk, które nie wystąpiłyby, gdyby nie było systemu wsparcia dla odbiorców a przedsiębiorstwa ciepłownicze rozliczały się z odbiorcami uprawnionymi na podstawie stosowanych taryf.</w:t>
      </w:r>
    </w:p>
    <w:p w14:paraId="31AE6A3C" w14:textId="7583AA5C" w:rsidR="003759AB" w:rsidRPr="004A1469" w:rsidRDefault="003759AB" w:rsidP="00DD3476">
      <w:pPr>
        <w:spacing w:after="120"/>
        <w:ind w:left="-15" w:right="0" w:firstLine="0"/>
      </w:pPr>
      <w:r w:rsidRPr="00344294">
        <w:t xml:space="preserve">W art. </w:t>
      </w:r>
      <w:r w:rsidR="001C5DDD" w:rsidRPr="00344294">
        <w:t>1</w:t>
      </w:r>
      <w:r w:rsidR="00F3317D" w:rsidRPr="00344294">
        <w:t>7</w:t>
      </w:r>
      <w:r w:rsidR="001C5DDD" w:rsidRPr="00344294">
        <w:t xml:space="preserve"> - 1</w:t>
      </w:r>
      <w:r w:rsidR="00F3317D" w:rsidRPr="00344294">
        <w:t>8</w:t>
      </w:r>
      <w:r w:rsidRPr="00344294">
        <w:t xml:space="preserve"> </w:t>
      </w:r>
      <w:r w:rsidR="001C5DDD" w:rsidRPr="00344294">
        <w:t xml:space="preserve">projektowanej </w:t>
      </w:r>
      <w:r w:rsidRPr="00344294">
        <w:t xml:space="preserve">ustawy zostały uregulowane przepisy przejściowe dotyczące </w:t>
      </w:r>
      <w:r w:rsidR="00A963B2" w:rsidRPr="00344294">
        <w:t xml:space="preserve">rozliczenia wsparcia w zakresie </w:t>
      </w:r>
      <w:r w:rsidRPr="00344294">
        <w:t>ciepła.</w:t>
      </w:r>
    </w:p>
    <w:p w14:paraId="14DD3F90" w14:textId="15DF97BA" w:rsidR="005A42CF" w:rsidRPr="004A1469" w:rsidRDefault="00E60A0F" w:rsidP="00791FFC">
      <w:pPr>
        <w:pStyle w:val="Akapitzlist"/>
        <w:numPr>
          <w:ilvl w:val="0"/>
          <w:numId w:val="9"/>
        </w:numPr>
        <w:spacing w:after="120"/>
        <w:ind w:left="284" w:right="0" w:hanging="284"/>
        <w:rPr>
          <w:b/>
          <w:bCs/>
        </w:rPr>
      </w:pPr>
      <w:r w:rsidRPr="004A1469">
        <w:rPr>
          <w:b/>
          <w:bCs/>
        </w:rPr>
        <w:t>Dodatek osłonowy</w:t>
      </w:r>
      <w:r w:rsidR="00BC534D" w:rsidRPr="004A1469">
        <w:rPr>
          <w:b/>
          <w:bCs/>
        </w:rPr>
        <w:t>.</w:t>
      </w:r>
    </w:p>
    <w:p w14:paraId="4FABDCF9" w14:textId="398D4DD8" w:rsidR="0013449A" w:rsidRPr="004A1469" w:rsidRDefault="001C5DDD" w:rsidP="008C3A70">
      <w:pPr>
        <w:spacing w:after="120"/>
        <w:ind w:right="0" w:firstLine="0"/>
      </w:pPr>
      <w:bookmarkStart w:id="0" w:name="_Hlk152030512"/>
      <w:r w:rsidRPr="004A1469">
        <w:t>W art. 1</w:t>
      </w:r>
      <w:r w:rsidR="00F3317D" w:rsidRPr="004A1469">
        <w:t>6</w:t>
      </w:r>
      <w:r w:rsidRPr="004A1469">
        <w:t xml:space="preserve"> </w:t>
      </w:r>
      <w:r w:rsidR="0013449A" w:rsidRPr="004A1469">
        <w:t>projektowanej ustaw</w:t>
      </w:r>
      <w:r w:rsidRPr="004A1469">
        <w:t>y</w:t>
      </w:r>
      <w:r w:rsidR="0013449A" w:rsidRPr="004A1469">
        <w:t xml:space="preserve"> założono zwiększone wsparcie dla osób najuboższych </w:t>
      </w:r>
      <w:r w:rsidR="00287F72" w:rsidRPr="004A1469">
        <w:t xml:space="preserve">w celu eliminacji zjawiska ubóstwa i wykluczenia </w:t>
      </w:r>
      <w:r w:rsidR="002737D7" w:rsidRPr="004A1469">
        <w:t>energetycznego. Proponowane rozwiązania powinny bowiem chronić przede wszystkim osoby najbardziej potrzebujące. Z tego względu</w:t>
      </w:r>
      <w:r w:rsidR="00A963B2">
        <w:t>,</w:t>
      </w:r>
      <w:r w:rsidR="002737D7" w:rsidRPr="004A1469">
        <w:t xml:space="preserve"> </w:t>
      </w:r>
      <w:r w:rsidR="00CB4D69">
        <w:t xml:space="preserve">w </w:t>
      </w:r>
      <w:r w:rsidR="002737D7" w:rsidRPr="004A1469">
        <w:t>p</w:t>
      </w:r>
      <w:r w:rsidR="0013449A" w:rsidRPr="004A1469">
        <w:t>rojektowan</w:t>
      </w:r>
      <w:r w:rsidR="00CB4D69">
        <w:t>ej</w:t>
      </w:r>
      <w:r w:rsidR="0013449A" w:rsidRPr="004A1469">
        <w:t xml:space="preserve"> ustaw</w:t>
      </w:r>
      <w:r w:rsidR="00CB4D69">
        <w:t>ie</w:t>
      </w:r>
      <w:r w:rsidR="00A963B2">
        <w:t>,</w:t>
      </w:r>
      <w:r w:rsidR="0013449A" w:rsidRPr="004A1469">
        <w:t xml:space="preserve"> kwoty dodatku osłonowego</w:t>
      </w:r>
      <w:r w:rsidR="006F6672" w:rsidRPr="004A1469">
        <w:t xml:space="preserve"> przypadające na okres pierwszego półrocza 2024 r.</w:t>
      </w:r>
      <w:r w:rsidR="007416AD">
        <w:t xml:space="preserve"> (tj. </w:t>
      </w:r>
      <w:r w:rsidR="00DD6913">
        <w:t>50% rocznych kwot)</w:t>
      </w:r>
      <w:r w:rsidR="006F6672" w:rsidRPr="004A1469">
        <w:t>, zostały zwaloryzowane</w:t>
      </w:r>
      <w:r w:rsidR="00BB3C10" w:rsidRPr="004A1469">
        <w:t xml:space="preserve"> </w:t>
      </w:r>
      <w:r w:rsidR="0013449A" w:rsidRPr="004A1469">
        <w:t>o urzędowo potwierdzony wskaźnik inflacji w 2022 roku wynoszącej 14,4%.</w:t>
      </w:r>
    </w:p>
    <w:bookmarkEnd w:id="0"/>
    <w:p w14:paraId="73F1B96A" w14:textId="364707E9" w:rsidR="0026392C" w:rsidRPr="004A1469" w:rsidRDefault="0026392C" w:rsidP="00C5331E">
      <w:pPr>
        <w:pStyle w:val="Akapitzlist"/>
        <w:numPr>
          <w:ilvl w:val="0"/>
          <w:numId w:val="9"/>
        </w:numPr>
        <w:spacing w:after="120"/>
        <w:ind w:left="284" w:right="0" w:hanging="284"/>
        <w:rPr>
          <w:b/>
          <w:bCs/>
        </w:rPr>
      </w:pPr>
      <w:r w:rsidRPr="004A1469">
        <w:rPr>
          <w:b/>
          <w:bCs/>
        </w:rPr>
        <w:t>Zmiany pozostałych ustaw</w:t>
      </w:r>
    </w:p>
    <w:p w14:paraId="5C36B72A" w14:textId="396250F3" w:rsidR="0026392C" w:rsidRPr="00344294" w:rsidRDefault="0026392C" w:rsidP="0026392C">
      <w:pPr>
        <w:pStyle w:val="Akapitzlist"/>
        <w:numPr>
          <w:ilvl w:val="0"/>
          <w:numId w:val="17"/>
        </w:numPr>
        <w:spacing w:after="120"/>
        <w:ind w:right="0"/>
      </w:pPr>
      <w:r w:rsidRPr="00344294">
        <w:t>Zmiana w ustawie z dnia 28 grudnia 2019 r. o zmianie ustawy o podatku akcyzowym oraz niektórych innych ustawy</w:t>
      </w:r>
      <w:r w:rsidR="008047C9" w:rsidRPr="00344294">
        <w:t xml:space="preserve"> (</w:t>
      </w:r>
      <w:r w:rsidR="008047C9" w:rsidRPr="00344294">
        <w:rPr>
          <w:bCs/>
          <w:szCs w:val="24"/>
        </w:rPr>
        <w:t xml:space="preserve">Dz.U. poz. 2538, z późn. zm.) </w:t>
      </w:r>
      <w:r w:rsidR="008047C9" w:rsidRPr="00344294">
        <w:t xml:space="preserve">– art. </w:t>
      </w:r>
      <w:r w:rsidR="00AD4557" w:rsidRPr="00344294">
        <w:t>9</w:t>
      </w:r>
      <w:r w:rsidR="008047C9" w:rsidRPr="00344294">
        <w:t xml:space="preserve"> ustawy;</w:t>
      </w:r>
    </w:p>
    <w:p w14:paraId="766CEF5B" w14:textId="609FA858" w:rsidR="0026392C" w:rsidRPr="00344294" w:rsidRDefault="0026392C" w:rsidP="0026392C">
      <w:pPr>
        <w:pStyle w:val="Akapitzlist"/>
        <w:numPr>
          <w:ilvl w:val="0"/>
          <w:numId w:val="17"/>
        </w:numPr>
        <w:spacing w:after="120"/>
        <w:ind w:right="0"/>
      </w:pPr>
      <w:r w:rsidRPr="00344294">
        <w:rPr>
          <w:szCs w:val="24"/>
        </w:rPr>
        <w:t>Zmiana w ustawie z dnia 31 marca 2020 r. o zmianie ustawy o szczególnych rozwiązaniach związanych z zapobieganiem, przeciwdziałaniem i zwalczaniem COVID-19, innych chorób zakaźnych oraz wywołanych nimi sytuacji kryzysowych oraz niektórych innych ustaw (Dz.U. z 2020 r. poz. 568 z późn. zm.)</w:t>
      </w:r>
      <w:r w:rsidR="008047C9" w:rsidRPr="00344294">
        <w:rPr>
          <w:szCs w:val="24"/>
        </w:rPr>
        <w:t xml:space="preserve"> </w:t>
      </w:r>
      <w:r w:rsidR="008047C9" w:rsidRPr="00344294">
        <w:t xml:space="preserve">– art. </w:t>
      </w:r>
      <w:r w:rsidR="00AD4557" w:rsidRPr="00344294">
        <w:t>10</w:t>
      </w:r>
      <w:r w:rsidR="008047C9" w:rsidRPr="00344294">
        <w:t xml:space="preserve"> ustawy</w:t>
      </w:r>
      <w:r w:rsidR="008047C9" w:rsidRPr="00344294">
        <w:rPr>
          <w:szCs w:val="24"/>
        </w:rPr>
        <w:t>;</w:t>
      </w:r>
    </w:p>
    <w:p w14:paraId="2316B93C" w14:textId="30C6A19C" w:rsidR="0026392C" w:rsidRPr="004A1469" w:rsidRDefault="0026392C" w:rsidP="00326624">
      <w:pPr>
        <w:spacing w:after="120"/>
        <w:ind w:right="0" w:firstLine="0"/>
      </w:pPr>
      <w:r w:rsidRPr="004A1469">
        <w:t xml:space="preserve">Wprowadzone </w:t>
      </w:r>
      <w:r w:rsidR="00F4679E" w:rsidRPr="004A1469">
        <w:t xml:space="preserve">w ustawach wymienionych w pkt 1-2 powyżej </w:t>
      </w:r>
      <w:r w:rsidRPr="004A1469">
        <w:t>zmiany związane są z koniecznością uwzględnienia wprowadzenia gazowej składki za 2022 r. przekazywanej na Fundusz Wypłaty Różnicy Ceny oraz przekazywania środków z Funduszu Wypłaty Różnicy Ceny na Fundusz COVID-19, który służy finansowaniu wsparcia odbiorców zgodnie z projektowanymi w ustawie przepisami.</w:t>
      </w:r>
    </w:p>
    <w:p w14:paraId="6BEBFC51" w14:textId="6D1AD775" w:rsidR="00152F97" w:rsidRPr="004A1469" w:rsidRDefault="00152F97" w:rsidP="0026392C">
      <w:pPr>
        <w:pStyle w:val="Akapitzlist"/>
        <w:numPr>
          <w:ilvl w:val="0"/>
          <w:numId w:val="9"/>
        </w:numPr>
        <w:spacing w:after="120"/>
        <w:ind w:left="567" w:right="0" w:hanging="567"/>
        <w:rPr>
          <w:b/>
          <w:bCs/>
        </w:rPr>
      </w:pPr>
      <w:r w:rsidRPr="004A1469">
        <w:rPr>
          <w:b/>
          <w:bCs/>
        </w:rPr>
        <w:t>Źródła finansowania, jeżeli projekt niesie obciążenia dla budżetu państwa lub jednostek samorządu terytorialnego.</w:t>
      </w:r>
    </w:p>
    <w:p w14:paraId="2EB7921D" w14:textId="5381D48A" w:rsidR="00A12356" w:rsidRPr="004A1469" w:rsidRDefault="00A12356" w:rsidP="00326624">
      <w:pPr>
        <w:spacing w:after="120"/>
        <w:ind w:right="0" w:firstLine="0"/>
      </w:pPr>
      <w:r w:rsidRPr="004A1469">
        <w:t xml:space="preserve">Środki przeznaczone na finansowanie wsparcia </w:t>
      </w:r>
      <w:r w:rsidR="003759AB" w:rsidRPr="004A1469">
        <w:t xml:space="preserve">odbiorców uprawnionych </w:t>
      </w:r>
      <w:r w:rsidRPr="004A1469">
        <w:t xml:space="preserve">wynikającego ze wskazanych wyżej przepisów będą pochodziły z </w:t>
      </w:r>
      <w:r w:rsidRPr="004A1469">
        <w:rPr>
          <w:szCs w:val="24"/>
        </w:rPr>
        <w:t xml:space="preserve">Funduszu COVID-19, który będzie zasilany z </w:t>
      </w:r>
      <w:r w:rsidRPr="004A1469">
        <w:t xml:space="preserve">gazowej składki na </w:t>
      </w:r>
      <w:r w:rsidRPr="004A1469">
        <w:rPr>
          <w:szCs w:val="24"/>
        </w:rPr>
        <w:t xml:space="preserve">Fundusz Wypłaty Różnicy Ceny za 2022 r. oraz innymi środkami w sposób przewidziany stosownymi przepisami. </w:t>
      </w:r>
    </w:p>
    <w:p w14:paraId="6A1B70DC" w14:textId="032AEBA3" w:rsidR="008C79E1" w:rsidRPr="004A1469" w:rsidRDefault="00CF0AD3" w:rsidP="00326624">
      <w:pPr>
        <w:spacing w:after="120"/>
        <w:ind w:right="0" w:firstLine="0"/>
      </w:pPr>
      <w:r w:rsidRPr="004A1469">
        <w:t>P</w:t>
      </w:r>
      <w:r w:rsidR="00A12356" w:rsidRPr="004A1469">
        <w:t xml:space="preserve">rzewidywane finansowanie wsparcia odbiorców z Funduszu COVID-19 określono na kwotę </w:t>
      </w:r>
      <w:r w:rsidR="002B25E8" w:rsidRPr="004A1469">
        <w:t xml:space="preserve">16,5 </w:t>
      </w:r>
      <w:r w:rsidR="00A30304" w:rsidRPr="004A1469">
        <w:t>mld zł.</w:t>
      </w:r>
    </w:p>
    <w:p w14:paraId="734C80AD" w14:textId="491EDCA1" w:rsidR="003759AB" w:rsidRPr="004A1469" w:rsidRDefault="003759AB" w:rsidP="00326624">
      <w:pPr>
        <w:spacing w:after="120"/>
        <w:ind w:right="0" w:firstLine="0"/>
      </w:pPr>
      <w:r w:rsidRPr="00344294">
        <w:lastRenderedPageBreak/>
        <w:t xml:space="preserve">W art. </w:t>
      </w:r>
      <w:r w:rsidR="00C73A47" w:rsidRPr="00344294">
        <w:t>19</w:t>
      </w:r>
      <w:r w:rsidRPr="00344294">
        <w:t xml:space="preserve"> ustawy uregulowano konieczność zmiany planu finansowego Funduszu Przeciwdziałania COVID-19, z którego ma być finansowane wsparcie odbiorców uprawnionych.</w:t>
      </w:r>
    </w:p>
    <w:p w14:paraId="3E892F50" w14:textId="757510D9" w:rsidR="00772CE2" w:rsidRDefault="00772CE2" w:rsidP="0026392C">
      <w:pPr>
        <w:pStyle w:val="Akapitzlist"/>
        <w:numPr>
          <w:ilvl w:val="0"/>
          <w:numId w:val="9"/>
        </w:numPr>
        <w:spacing w:after="120"/>
        <w:ind w:left="567" w:right="0" w:hanging="567"/>
        <w:rPr>
          <w:b/>
          <w:bCs/>
        </w:rPr>
      </w:pPr>
      <w:r>
        <w:rPr>
          <w:b/>
          <w:bCs/>
        </w:rPr>
        <w:t>Zmiana tytułów ustaw, w których są odwołania do zmienianych ustaw</w:t>
      </w:r>
    </w:p>
    <w:p w14:paraId="35754101" w14:textId="17C64167" w:rsidR="00772CE2" w:rsidRDefault="00772CE2" w:rsidP="00772CE2">
      <w:pPr>
        <w:spacing w:after="120"/>
        <w:ind w:right="0" w:firstLine="0"/>
      </w:pPr>
      <w:r w:rsidRPr="008D3587">
        <w:t xml:space="preserve">W </w:t>
      </w:r>
      <w:r>
        <w:t xml:space="preserve">związku ze zmianą tytułów ustaw w autopoprawce dokonano zmian w szeregu ustaw </w:t>
      </w:r>
      <w:r w:rsidRPr="008D3587">
        <w:t xml:space="preserve">zakresie </w:t>
      </w:r>
      <w:r>
        <w:t xml:space="preserve">odwołań do </w:t>
      </w:r>
      <w:r w:rsidR="009827A1">
        <w:t>zmienianych tytułów ustaw</w:t>
      </w:r>
      <w:r>
        <w:t>.</w:t>
      </w:r>
    </w:p>
    <w:p w14:paraId="4C085665" w14:textId="150A130A" w:rsidR="008D3587" w:rsidRDefault="008D3587" w:rsidP="0026392C">
      <w:pPr>
        <w:pStyle w:val="Akapitzlist"/>
        <w:numPr>
          <w:ilvl w:val="0"/>
          <w:numId w:val="9"/>
        </w:numPr>
        <w:spacing w:after="120"/>
        <w:ind w:left="567" w:right="0" w:hanging="567"/>
        <w:rPr>
          <w:b/>
          <w:bCs/>
        </w:rPr>
      </w:pPr>
      <w:r>
        <w:rPr>
          <w:b/>
          <w:bCs/>
        </w:rPr>
        <w:t>Zmiany do pierwotnego projektu</w:t>
      </w:r>
    </w:p>
    <w:p w14:paraId="392100DB" w14:textId="351AB9B3" w:rsidR="008D3587" w:rsidRDefault="008D3587" w:rsidP="008D3587">
      <w:pPr>
        <w:spacing w:after="120"/>
        <w:ind w:right="0" w:firstLine="0"/>
      </w:pPr>
      <w:r w:rsidRPr="008D3587">
        <w:t xml:space="preserve">W zakresie art. </w:t>
      </w:r>
      <w:r w:rsidR="00344294">
        <w:t xml:space="preserve">1 – 4 </w:t>
      </w:r>
      <w:r w:rsidRPr="008D3587">
        <w:t xml:space="preserve">zmiany </w:t>
      </w:r>
      <w:r>
        <w:t>mają charakter techniczny i związane są z koniecznością doprecyzowań niektórych sformułowań oraz odwołań w dokumencie.</w:t>
      </w:r>
    </w:p>
    <w:p w14:paraId="0C6CBC1B" w14:textId="4AC2309E" w:rsidR="008D3587" w:rsidRPr="008D3587" w:rsidRDefault="008D3587" w:rsidP="008D3587">
      <w:pPr>
        <w:spacing w:after="120"/>
        <w:ind w:right="0" w:firstLine="0"/>
      </w:pPr>
      <w:r>
        <w:t xml:space="preserve">Art. </w:t>
      </w:r>
      <w:r w:rsidR="00344294">
        <w:t xml:space="preserve">5, 6, 7, 8, 11 - 15 </w:t>
      </w:r>
      <w:r>
        <w:t>skreślono wobec czego objęta nimi dotychczas materia nie jest już przedmiotem projektu.</w:t>
      </w:r>
    </w:p>
    <w:p w14:paraId="0CB6F250" w14:textId="2698B945" w:rsidR="00146C8D" w:rsidRPr="004A1469" w:rsidRDefault="00507482" w:rsidP="0026392C">
      <w:pPr>
        <w:pStyle w:val="Akapitzlist"/>
        <w:numPr>
          <w:ilvl w:val="0"/>
          <w:numId w:val="9"/>
        </w:numPr>
        <w:spacing w:after="120"/>
        <w:ind w:left="567" w:right="0" w:hanging="567"/>
        <w:rPr>
          <w:b/>
          <w:bCs/>
        </w:rPr>
      </w:pPr>
      <w:r w:rsidRPr="004A1469">
        <w:rPr>
          <w:b/>
          <w:bCs/>
        </w:rPr>
        <w:t>Wejście w życie.</w:t>
      </w:r>
    </w:p>
    <w:p w14:paraId="52BE4E9A" w14:textId="2B1BA443" w:rsidR="00A30304" w:rsidRPr="004A1469" w:rsidRDefault="00C65CB6" w:rsidP="00326624">
      <w:pPr>
        <w:spacing w:after="120"/>
        <w:ind w:right="0" w:firstLine="0"/>
      </w:pPr>
      <w:r w:rsidRPr="004A1469">
        <w:t xml:space="preserve">Proponuje się, aby ustawa weszła w życie z dniem </w:t>
      </w:r>
      <w:r w:rsidR="009E3C03" w:rsidRPr="004A1469">
        <w:t>31 grudnia 202</w:t>
      </w:r>
      <w:r w:rsidR="006C713F">
        <w:t>3</w:t>
      </w:r>
      <w:r w:rsidR="009E3C03" w:rsidRPr="004A1469">
        <w:t xml:space="preserve"> r.</w:t>
      </w:r>
    </w:p>
    <w:p w14:paraId="3B619FAA" w14:textId="58B93D64" w:rsidR="00146C8D" w:rsidRPr="004A1469" w:rsidRDefault="00BB02B9" w:rsidP="0026392C">
      <w:pPr>
        <w:pStyle w:val="Akapitzlist"/>
        <w:numPr>
          <w:ilvl w:val="0"/>
          <w:numId w:val="9"/>
        </w:numPr>
        <w:spacing w:after="120"/>
        <w:ind w:left="567" w:right="0" w:hanging="567"/>
        <w:rPr>
          <w:b/>
          <w:bCs/>
        </w:rPr>
      </w:pPr>
      <w:r w:rsidRPr="004A1469">
        <w:rPr>
          <w:b/>
          <w:bCs/>
        </w:rPr>
        <w:t>Ocena zgodności projektu z prawem Unii Europejskiej.</w:t>
      </w:r>
    </w:p>
    <w:p w14:paraId="6864868E" w14:textId="6328E8C1" w:rsidR="00777D64" w:rsidRPr="004A1469" w:rsidRDefault="00777D64" w:rsidP="008D3587">
      <w:pPr>
        <w:spacing w:after="120"/>
        <w:ind w:left="-142" w:right="0" w:firstLine="142"/>
      </w:pPr>
      <w:r w:rsidRPr="004A1469">
        <w:t>W ocenie projektodawców projekt ustawy jest zgodny z prawem Unii Europejskiej.</w:t>
      </w:r>
    </w:p>
    <w:p w14:paraId="63CAF6CF" w14:textId="073A7BC3" w:rsidR="00146C8D" w:rsidRPr="004A1469" w:rsidRDefault="00D533DF" w:rsidP="0026392C">
      <w:pPr>
        <w:pStyle w:val="Akapitzlist"/>
        <w:numPr>
          <w:ilvl w:val="0"/>
          <w:numId w:val="9"/>
        </w:numPr>
        <w:spacing w:after="120"/>
        <w:ind w:left="567" w:right="0" w:hanging="567"/>
        <w:rPr>
          <w:b/>
          <w:bCs/>
        </w:rPr>
      </w:pPr>
      <w:r w:rsidRPr="004A1469">
        <w:rPr>
          <w:b/>
          <w:bCs/>
        </w:rPr>
        <w:t>Notyfikacja.</w:t>
      </w:r>
    </w:p>
    <w:p w14:paraId="0E86926E" w14:textId="564C2D18" w:rsidR="0001066D" w:rsidRPr="004A1469" w:rsidRDefault="0001066D" w:rsidP="008D3587">
      <w:pPr>
        <w:spacing w:after="120"/>
        <w:ind w:right="0" w:firstLine="0"/>
      </w:pPr>
      <w:r w:rsidRPr="004A1469">
        <w:t xml:space="preserve">Projekt ustawy nie podlega procedurze notyfikacji aktów prawnych, określonej w przepisach rozporządzenia Rady Ministrów z dnia 23 grudnia 2002 r. w sprawie funkcjonowania krajowego systemu notyfikacji norm i aktów prawnych (Dz. U. poz. 2039, z późn. zm.).  </w:t>
      </w:r>
    </w:p>
    <w:p w14:paraId="5B7F878B" w14:textId="3FCDFB83" w:rsidR="00A30304" w:rsidRDefault="0001066D" w:rsidP="008D3587">
      <w:pPr>
        <w:spacing w:after="120"/>
        <w:ind w:right="0" w:firstLine="0"/>
      </w:pPr>
      <w:r w:rsidRPr="004A1469">
        <w:t>Projekt ustawy nie wymaga przedstawienia właściwym instytucjom i organom Unii Europejskiej, w tym Europejskiemu Bankowi Centralnemu, celem uzyskania opinii, dokonania powiadomienia, konsultacji albo uzgodnienia projektu.</w:t>
      </w:r>
    </w:p>
    <w:p w14:paraId="025EFABF" w14:textId="77777777" w:rsidR="00CB4D69" w:rsidRPr="00A70F51" w:rsidRDefault="00CB4D69" w:rsidP="00CB4D69">
      <w:pPr>
        <w:spacing w:before="100" w:beforeAutospacing="1" w:line="240" w:lineRule="auto"/>
        <w:ind w:firstLine="0"/>
        <w:rPr>
          <w:b/>
          <w:szCs w:val="24"/>
        </w:rPr>
      </w:pPr>
      <w:r w:rsidRPr="00A70F51">
        <w:rPr>
          <w:b/>
          <w:szCs w:val="24"/>
        </w:rPr>
        <w:t xml:space="preserve">8. </w:t>
      </w:r>
      <w:r w:rsidRPr="00A70F51">
        <w:rPr>
          <w:b/>
          <w:szCs w:val="24"/>
        </w:rPr>
        <w:tab/>
        <w:t>Wpływ na mikroprzedsiębiorców oraz małych</w:t>
      </w:r>
      <w:r>
        <w:rPr>
          <w:b/>
          <w:szCs w:val="24"/>
        </w:rPr>
        <w:t xml:space="preserve"> i </w:t>
      </w:r>
      <w:r w:rsidRPr="00A70F51">
        <w:rPr>
          <w:b/>
          <w:szCs w:val="24"/>
        </w:rPr>
        <w:t>średnich przedsiębiorców</w:t>
      </w:r>
    </w:p>
    <w:p w14:paraId="3F3F482D" w14:textId="77777777" w:rsidR="00CB4D69" w:rsidRDefault="00CB4D69" w:rsidP="00CB4D69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</w:p>
    <w:p w14:paraId="1B28137B" w14:textId="440998FF" w:rsidR="00CB4D69" w:rsidRPr="00A70F51" w:rsidRDefault="00CB4D69" w:rsidP="00CB4D69">
      <w:pPr>
        <w:pStyle w:val="NIEARTTEKSTtekstnieartykuowanynppodstprawnarozplubpreambua"/>
        <w:spacing w:before="0"/>
        <w:ind w:firstLine="0"/>
        <w:rPr>
          <w:rFonts w:ascii="Times New Roman" w:hAnsi="Times New Roman" w:cs="Times New Roman"/>
          <w:szCs w:val="24"/>
        </w:rPr>
      </w:pPr>
      <w:r w:rsidRPr="00A70F51">
        <w:rPr>
          <w:rFonts w:ascii="Times New Roman" w:hAnsi="Times New Roman" w:cs="Times New Roman"/>
          <w:szCs w:val="24"/>
        </w:rPr>
        <w:t>Projekt ustawy nie dotyczy majątkowych praw</w:t>
      </w:r>
      <w:r>
        <w:rPr>
          <w:rFonts w:ascii="Times New Roman" w:hAnsi="Times New Roman" w:cs="Times New Roman"/>
          <w:szCs w:val="24"/>
        </w:rPr>
        <w:t xml:space="preserve"> i </w:t>
      </w:r>
      <w:r w:rsidRPr="00A70F51">
        <w:rPr>
          <w:rFonts w:ascii="Times New Roman" w:hAnsi="Times New Roman" w:cs="Times New Roman"/>
          <w:szCs w:val="24"/>
        </w:rPr>
        <w:t>obowiązków przedsiębiorców lub praw</w:t>
      </w:r>
      <w:r>
        <w:rPr>
          <w:rFonts w:ascii="Times New Roman" w:hAnsi="Times New Roman" w:cs="Times New Roman"/>
          <w:szCs w:val="24"/>
        </w:rPr>
        <w:t xml:space="preserve"> i </w:t>
      </w:r>
      <w:r w:rsidRPr="00A70F51">
        <w:rPr>
          <w:rFonts w:ascii="Times New Roman" w:hAnsi="Times New Roman" w:cs="Times New Roman"/>
          <w:szCs w:val="24"/>
        </w:rPr>
        <w:t>obowiązków przedsiębiorców wobec organów administracji publicznej</w:t>
      </w:r>
      <w:r>
        <w:rPr>
          <w:rFonts w:ascii="Times New Roman" w:hAnsi="Times New Roman" w:cs="Times New Roman"/>
          <w:szCs w:val="24"/>
        </w:rPr>
        <w:t xml:space="preserve"> i </w:t>
      </w:r>
      <w:r w:rsidRPr="00A70F51">
        <w:rPr>
          <w:rFonts w:ascii="Times New Roman" w:hAnsi="Times New Roman" w:cs="Times New Roman"/>
          <w:szCs w:val="24"/>
        </w:rPr>
        <w:t>nie wpływa na działalność mikroprzedsiębiorców oraz małych</w:t>
      </w:r>
      <w:r>
        <w:rPr>
          <w:rFonts w:ascii="Times New Roman" w:hAnsi="Times New Roman" w:cs="Times New Roman"/>
          <w:szCs w:val="24"/>
        </w:rPr>
        <w:t xml:space="preserve"> i </w:t>
      </w:r>
      <w:r w:rsidRPr="00A70F51">
        <w:rPr>
          <w:rFonts w:ascii="Times New Roman" w:hAnsi="Times New Roman" w:cs="Times New Roman"/>
          <w:szCs w:val="24"/>
        </w:rPr>
        <w:t>średnich przedsiębiorców.</w:t>
      </w:r>
    </w:p>
    <w:sectPr w:rsidR="00CB4D69" w:rsidRPr="00A70F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4025" w14:textId="77777777" w:rsidR="003F6CD6" w:rsidRDefault="003F6CD6" w:rsidP="000B186E">
      <w:pPr>
        <w:spacing w:after="0" w:line="240" w:lineRule="auto"/>
      </w:pPr>
      <w:r>
        <w:separator/>
      </w:r>
    </w:p>
  </w:endnote>
  <w:endnote w:type="continuationSeparator" w:id="0">
    <w:p w14:paraId="30B0A9E9" w14:textId="77777777" w:rsidR="003F6CD6" w:rsidRDefault="003F6CD6" w:rsidP="000B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3687522"/>
      <w:docPartObj>
        <w:docPartGallery w:val="Page Numbers (Bottom of Page)"/>
        <w:docPartUnique/>
      </w:docPartObj>
    </w:sdtPr>
    <w:sdtContent>
      <w:p w14:paraId="49BD4485" w14:textId="6A18C512" w:rsidR="00F5426D" w:rsidRDefault="00F542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860668" w14:textId="77777777" w:rsidR="00F5426D" w:rsidRDefault="00F54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BB79" w14:textId="77777777" w:rsidR="003F6CD6" w:rsidRDefault="003F6CD6" w:rsidP="000B186E">
      <w:pPr>
        <w:spacing w:after="0" w:line="240" w:lineRule="auto"/>
      </w:pPr>
      <w:r>
        <w:separator/>
      </w:r>
    </w:p>
  </w:footnote>
  <w:footnote w:type="continuationSeparator" w:id="0">
    <w:p w14:paraId="270530E8" w14:textId="77777777" w:rsidR="003F6CD6" w:rsidRDefault="003F6CD6" w:rsidP="000B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D84B" w14:textId="0FBA8DD8" w:rsidR="00DB120A" w:rsidRDefault="00DB120A">
    <w:pPr>
      <w:pStyle w:val="Nagwek"/>
      <w:jc w:val="center"/>
      <w:rPr>
        <w:rFonts w:asciiTheme="majorHAnsi" w:eastAsiaTheme="majorEastAsia" w:hAnsiTheme="majorHAnsi" w:cstheme="majorBidi"/>
        <w:sz w:val="28"/>
        <w:szCs w:val="28"/>
      </w:rPr>
    </w:pPr>
  </w:p>
  <w:p w14:paraId="2C034F3B" w14:textId="77777777" w:rsidR="00DB120A" w:rsidRDefault="00DB12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AF0"/>
    <w:multiLevelType w:val="hybridMultilevel"/>
    <w:tmpl w:val="1764AFB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A0925"/>
    <w:multiLevelType w:val="hybridMultilevel"/>
    <w:tmpl w:val="A6B64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66BF"/>
    <w:multiLevelType w:val="hybridMultilevel"/>
    <w:tmpl w:val="735E6CA0"/>
    <w:lvl w:ilvl="0" w:tplc="FFFFFFFF">
      <w:start w:val="1"/>
      <w:numFmt w:val="lowerLetter"/>
      <w:lvlText w:val="%1."/>
      <w:lvlJc w:val="left"/>
      <w:pPr>
        <w:ind w:left="1788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3228" w:hanging="180"/>
      </w:pPr>
    </w:lvl>
    <w:lvl w:ilvl="3" w:tplc="FFFFFFFF" w:tentative="1">
      <w:start w:val="1"/>
      <w:numFmt w:val="decimal"/>
      <w:lvlText w:val="%4."/>
      <w:lvlJc w:val="left"/>
      <w:pPr>
        <w:ind w:left="3948" w:hanging="360"/>
      </w:pPr>
    </w:lvl>
    <w:lvl w:ilvl="4" w:tplc="FFFFFFFF" w:tentative="1">
      <w:start w:val="1"/>
      <w:numFmt w:val="lowerLetter"/>
      <w:lvlText w:val="%5."/>
      <w:lvlJc w:val="left"/>
      <w:pPr>
        <w:ind w:left="4668" w:hanging="360"/>
      </w:pPr>
    </w:lvl>
    <w:lvl w:ilvl="5" w:tplc="FFFFFFFF" w:tentative="1">
      <w:start w:val="1"/>
      <w:numFmt w:val="lowerRoman"/>
      <w:lvlText w:val="%6."/>
      <w:lvlJc w:val="right"/>
      <w:pPr>
        <w:ind w:left="5388" w:hanging="180"/>
      </w:pPr>
    </w:lvl>
    <w:lvl w:ilvl="6" w:tplc="FFFFFFFF" w:tentative="1">
      <w:start w:val="1"/>
      <w:numFmt w:val="decimal"/>
      <w:lvlText w:val="%7."/>
      <w:lvlJc w:val="left"/>
      <w:pPr>
        <w:ind w:left="6108" w:hanging="360"/>
      </w:pPr>
    </w:lvl>
    <w:lvl w:ilvl="7" w:tplc="FFFFFFFF" w:tentative="1">
      <w:start w:val="1"/>
      <w:numFmt w:val="lowerLetter"/>
      <w:lvlText w:val="%8."/>
      <w:lvlJc w:val="left"/>
      <w:pPr>
        <w:ind w:left="6828" w:hanging="360"/>
      </w:pPr>
    </w:lvl>
    <w:lvl w:ilvl="8" w:tplc="FFFFFFFF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1E64795"/>
    <w:multiLevelType w:val="hybridMultilevel"/>
    <w:tmpl w:val="2B409C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7593"/>
    <w:multiLevelType w:val="hybridMultilevel"/>
    <w:tmpl w:val="27EAB78C"/>
    <w:lvl w:ilvl="0" w:tplc="1746306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179B4EC1"/>
    <w:multiLevelType w:val="hybridMultilevel"/>
    <w:tmpl w:val="27EAB78C"/>
    <w:lvl w:ilvl="0" w:tplc="FFFFFFFF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1AB5350F"/>
    <w:multiLevelType w:val="hybridMultilevel"/>
    <w:tmpl w:val="A6B64600"/>
    <w:lvl w:ilvl="0" w:tplc="541AF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4410"/>
    <w:multiLevelType w:val="hybridMultilevel"/>
    <w:tmpl w:val="E0CA4444"/>
    <w:lvl w:ilvl="0" w:tplc="7EF4D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7D10"/>
    <w:multiLevelType w:val="hybridMultilevel"/>
    <w:tmpl w:val="3FF051DE"/>
    <w:lvl w:ilvl="0" w:tplc="FFFFFFFF">
      <w:start w:val="1"/>
      <w:numFmt w:val="decimal"/>
      <w:lvlText w:val="%1)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1492960"/>
    <w:multiLevelType w:val="hybridMultilevel"/>
    <w:tmpl w:val="057EF430"/>
    <w:lvl w:ilvl="0" w:tplc="129C5A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633FA"/>
    <w:multiLevelType w:val="hybridMultilevel"/>
    <w:tmpl w:val="195E8BE4"/>
    <w:lvl w:ilvl="0" w:tplc="DAFED1F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54871DB"/>
    <w:multiLevelType w:val="hybridMultilevel"/>
    <w:tmpl w:val="50D2F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B2B4E"/>
    <w:multiLevelType w:val="hybridMultilevel"/>
    <w:tmpl w:val="ACFE04BE"/>
    <w:lvl w:ilvl="0" w:tplc="82FC5F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65F74"/>
    <w:multiLevelType w:val="hybridMultilevel"/>
    <w:tmpl w:val="3FF051DE"/>
    <w:lvl w:ilvl="0" w:tplc="FFFFFFFF">
      <w:start w:val="1"/>
      <w:numFmt w:val="decimal"/>
      <w:lvlText w:val="%1)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C525045"/>
    <w:multiLevelType w:val="hybridMultilevel"/>
    <w:tmpl w:val="687CB974"/>
    <w:lvl w:ilvl="0" w:tplc="129C5A1A">
      <w:start w:val="1"/>
      <w:numFmt w:val="decimal"/>
      <w:lvlText w:val="%1)"/>
      <w:lvlJc w:val="left"/>
      <w:pPr>
        <w:ind w:left="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D8522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5FE1A1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0A206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A2861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AFCB4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C6B3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69C842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E2A70A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CC463E7"/>
    <w:multiLevelType w:val="hybridMultilevel"/>
    <w:tmpl w:val="B40EF976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3F5B4DB6"/>
    <w:multiLevelType w:val="hybridMultilevel"/>
    <w:tmpl w:val="661CA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B330C"/>
    <w:multiLevelType w:val="hybridMultilevel"/>
    <w:tmpl w:val="44FAA932"/>
    <w:lvl w:ilvl="0" w:tplc="5D42293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409133E9"/>
    <w:multiLevelType w:val="hybridMultilevel"/>
    <w:tmpl w:val="3FF051DE"/>
    <w:lvl w:ilvl="0" w:tplc="129C5A1A">
      <w:start w:val="1"/>
      <w:numFmt w:val="decimal"/>
      <w:lvlText w:val="%1)"/>
      <w:lvlJc w:val="left"/>
      <w:pPr>
        <w:ind w:left="70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46D476B3"/>
    <w:multiLevelType w:val="hybridMultilevel"/>
    <w:tmpl w:val="1764A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F282B"/>
    <w:multiLevelType w:val="hybridMultilevel"/>
    <w:tmpl w:val="1F2C1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C78"/>
    <w:multiLevelType w:val="hybridMultilevel"/>
    <w:tmpl w:val="9CC6CC40"/>
    <w:lvl w:ilvl="0" w:tplc="5C78DEE6">
      <w:start w:val="1"/>
      <w:numFmt w:val="decimal"/>
      <w:lvlText w:val="%1)"/>
      <w:lvlJc w:val="left"/>
      <w:pPr>
        <w:ind w:left="87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58684AC4"/>
    <w:multiLevelType w:val="hybridMultilevel"/>
    <w:tmpl w:val="38546D4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7F06863A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4F50C9"/>
    <w:multiLevelType w:val="hybridMultilevel"/>
    <w:tmpl w:val="D6AABFFE"/>
    <w:lvl w:ilvl="0" w:tplc="1746306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 w15:restartNumberingAfterBreak="0">
    <w:nsid w:val="60FF6D52"/>
    <w:multiLevelType w:val="hybridMultilevel"/>
    <w:tmpl w:val="EA904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62141"/>
    <w:multiLevelType w:val="hybridMultilevel"/>
    <w:tmpl w:val="C3CCD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436E8"/>
    <w:multiLevelType w:val="hybridMultilevel"/>
    <w:tmpl w:val="F0CA0B0A"/>
    <w:lvl w:ilvl="0" w:tplc="5E0C8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E697239"/>
    <w:multiLevelType w:val="hybridMultilevel"/>
    <w:tmpl w:val="2FA08D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351FA"/>
    <w:multiLevelType w:val="hybridMultilevel"/>
    <w:tmpl w:val="633A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92987"/>
    <w:multiLevelType w:val="hybridMultilevel"/>
    <w:tmpl w:val="300EF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C5490"/>
    <w:multiLevelType w:val="hybridMultilevel"/>
    <w:tmpl w:val="E9D299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432A0"/>
    <w:multiLevelType w:val="hybridMultilevel"/>
    <w:tmpl w:val="B3E4A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B3EC8"/>
    <w:multiLevelType w:val="hybridMultilevel"/>
    <w:tmpl w:val="59128C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050DC"/>
    <w:multiLevelType w:val="hybridMultilevel"/>
    <w:tmpl w:val="F3407206"/>
    <w:lvl w:ilvl="0" w:tplc="74A0A262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376483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4484519">
    <w:abstractNumId w:val="10"/>
  </w:num>
  <w:num w:numId="3" w16cid:durableId="160782584">
    <w:abstractNumId w:val="14"/>
  </w:num>
  <w:num w:numId="4" w16cid:durableId="1347947101">
    <w:abstractNumId w:val="18"/>
  </w:num>
  <w:num w:numId="5" w16cid:durableId="863403368">
    <w:abstractNumId w:val="8"/>
  </w:num>
  <w:num w:numId="6" w16cid:durableId="1655645080">
    <w:abstractNumId w:val="6"/>
  </w:num>
  <w:num w:numId="7" w16cid:durableId="203441986">
    <w:abstractNumId w:val="1"/>
  </w:num>
  <w:num w:numId="8" w16cid:durableId="1329292133">
    <w:abstractNumId w:val="28"/>
  </w:num>
  <w:num w:numId="9" w16cid:durableId="259260867">
    <w:abstractNumId w:val="20"/>
  </w:num>
  <w:num w:numId="10" w16cid:durableId="698706551">
    <w:abstractNumId w:val="11"/>
  </w:num>
  <w:num w:numId="11" w16cid:durableId="1927223831">
    <w:abstractNumId w:val="9"/>
  </w:num>
  <w:num w:numId="12" w16cid:durableId="1550608595">
    <w:abstractNumId w:val="17"/>
  </w:num>
  <w:num w:numId="13" w16cid:durableId="864485767">
    <w:abstractNumId w:val="13"/>
  </w:num>
  <w:num w:numId="14" w16cid:durableId="1013070796">
    <w:abstractNumId w:val="12"/>
  </w:num>
  <w:num w:numId="15" w16cid:durableId="505560569">
    <w:abstractNumId w:val="33"/>
  </w:num>
  <w:num w:numId="16" w16cid:durableId="809595827">
    <w:abstractNumId w:val="31"/>
  </w:num>
  <w:num w:numId="17" w16cid:durableId="1489514084">
    <w:abstractNumId w:val="24"/>
  </w:num>
  <w:num w:numId="18" w16cid:durableId="1557936427">
    <w:abstractNumId w:val="25"/>
  </w:num>
  <w:num w:numId="19" w16cid:durableId="222566622">
    <w:abstractNumId w:val="16"/>
  </w:num>
  <w:num w:numId="20" w16cid:durableId="1470707268">
    <w:abstractNumId w:val="27"/>
  </w:num>
  <w:num w:numId="21" w16cid:durableId="1103568697">
    <w:abstractNumId w:val="32"/>
  </w:num>
  <w:num w:numId="22" w16cid:durableId="1892184419">
    <w:abstractNumId w:val="7"/>
  </w:num>
  <w:num w:numId="23" w16cid:durableId="720980965">
    <w:abstractNumId w:val="22"/>
  </w:num>
  <w:num w:numId="24" w16cid:durableId="2137748132">
    <w:abstractNumId w:val="15"/>
  </w:num>
  <w:num w:numId="25" w16cid:durableId="1093165319">
    <w:abstractNumId w:val="4"/>
  </w:num>
  <w:num w:numId="26" w16cid:durableId="336998823">
    <w:abstractNumId w:val="5"/>
  </w:num>
  <w:num w:numId="27" w16cid:durableId="602156235">
    <w:abstractNumId w:val="21"/>
  </w:num>
  <w:num w:numId="28" w16cid:durableId="1380470205">
    <w:abstractNumId w:val="3"/>
  </w:num>
  <w:num w:numId="29" w16cid:durableId="1638492683">
    <w:abstractNumId w:val="30"/>
  </w:num>
  <w:num w:numId="30" w16cid:durableId="1676570758">
    <w:abstractNumId w:val="29"/>
  </w:num>
  <w:num w:numId="31" w16cid:durableId="1558659550">
    <w:abstractNumId w:val="26"/>
  </w:num>
  <w:num w:numId="32" w16cid:durableId="45490536">
    <w:abstractNumId w:val="2"/>
  </w:num>
  <w:num w:numId="33" w16cid:durableId="1293511715">
    <w:abstractNumId w:val="19"/>
  </w:num>
  <w:num w:numId="34" w16cid:durableId="941836006">
    <w:abstractNumId w:val="0"/>
  </w:num>
  <w:num w:numId="35" w16cid:durableId="1354766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6E"/>
    <w:rsid w:val="00001050"/>
    <w:rsid w:val="0001066D"/>
    <w:rsid w:val="00011A77"/>
    <w:rsid w:val="000142D8"/>
    <w:rsid w:val="00023B59"/>
    <w:rsid w:val="0003279F"/>
    <w:rsid w:val="00037577"/>
    <w:rsid w:val="00041B8C"/>
    <w:rsid w:val="0004277C"/>
    <w:rsid w:val="00043D67"/>
    <w:rsid w:val="000527D1"/>
    <w:rsid w:val="00053669"/>
    <w:rsid w:val="00054B94"/>
    <w:rsid w:val="00057D7D"/>
    <w:rsid w:val="00060688"/>
    <w:rsid w:val="000643D5"/>
    <w:rsid w:val="00066EB1"/>
    <w:rsid w:val="0007461C"/>
    <w:rsid w:val="00077DBF"/>
    <w:rsid w:val="00090FFF"/>
    <w:rsid w:val="0009194E"/>
    <w:rsid w:val="000B186E"/>
    <w:rsid w:val="000B25D0"/>
    <w:rsid w:val="000C517A"/>
    <w:rsid w:val="000D0A75"/>
    <w:rsid w:val="000D5670"/>
    <w:rsid w:val="000E3D27"/>
    <w:rsid w:val="000E46B3"/>
    <w:rsid w:val="000E6981"/>
    <w:rsid w:val="000E7998"/>
    <w:rsid w:val="000F0251"/>
    <w:rsid w:val="000F2F66"/>
    <w:rsid w:val="0010494E"/>
    <w:rsid w:val="00112489"/>
    <w:rsid w:val="0012600D"/>
    <w:rsid w:val="001317EC"/>
    <w:rsid w:val="0013449A"/>
    <w:rsid w:val="0014363E"/>
    <w:rsid w:val="00146C8D"/>
    <w:rsid w:val="00152F97"/>
    <w:rsid w:val="00156827"/>
    <w:rsid w:val="0017307A"/>
    <w:rsid w:val="00174A5C"/>
    <w:rsid w:val="001751CA"/>
    <w:rsid w:val="0018394C"/>
    <w:rsid w:val="00183B5D"/>
    <w:rsid w:val="001A5373"/>
    <w:rsid w:val="001B67D7"/>
    <w:rsid w:val="001C1375"/>
    <w:rsid w:val="001C1D2C"/>
    <w:rsid w:val="001C3F3D"/>
    <w:rsid w:val="001C5DDD"/>
    <w:rsid w:val="001D3C9A"/>
    <w:rsid w:val="001D7ADF"/>
    <w:rsid w:val="00201AC1"/>
    <w:rsid w:val="00203F97"/>
    <w:rsid w:val="00212DF8"/>
    <w:rsid w:val="00213E78"/>
    <w:rsid w:val="00215C04"/>
    <w:rsid w:val="002232E5"/>
    <w:rsid w:val="002237D3"/>
    <w:rsid w:val="0022425C"/>
    <w:rsid w:val="0022516D"/>
    <w:rsid w:val="002317FB"/>
    <w:rsid w:val="00234A89"/>
    <w:rsid w:val="00241FA8"/>
    <w:rsid w:val="00244F16"/>
    <w:rsid w:val="00247542"/>
    <w:rsid w:val="00260CB6"/>
    <w:rsid w:val="0026392C"/>
    <w:rsid w:val="00266B36"/>
    <w:rsid w:val="00267153"/>
    <w:rsid w:val="00271864"/>
    <w:rsid w:val="002737D7"/>
    <w:rsid w:val="00287F72"/>
    <w:rsid w:val="00290549"/>
    <w:rsid w:val="002929F4"/>
    <w:rsid w:val="00293110"/>
    <w:rsid w:val="002A2A60"/>
    <w:rsid w:val="002B24B0"/>
    <w:rsid w:val="002B25E8"/>
    <w:rsid w:val="002B5847"/>
    <w:rsid w:val="002C3115"/>
    <w:rsid w:val="002C31B7"/>
    <w:rsid w:val="002C689A"/>
    <w:rsid w:val="002D2E56"/>
    <w:rsid w:val="002D3512"/>
    <w:rsid w:val="002D3AC8"/>
    <w:rsid w:val="002D5CBE"/>
    <w:rsid w:val="002E2A29"/>
    <w:rsid w:val="002E3B44"/>
    <w:rsid w:val="002E41C4"/>
    <w:rsid w:val="002E7D93"/>
    <w:rsid w:val="002F2633"/>
    <w:rsid w:val="002F683C"/>
    <w:rsid w:val="00303ECE"/>
    <w:rsid w:val="003044C4"/>
    <w:rsid w:val="00304BBB"/>
    <w:rsid w:val="003069FA"/>
    <w:rsid w:val="00310CCF"/>
    <w:rsid w:val="00326624"/>
    <w:rsid w:val="00331464"/>
    <w:rsid w:val="00332316"/>
    <w:rsid w:val="00333FC7"/>
    <w:rsid w:val="00334C8E"/>
    <w:rsid w:val="00335F8D"/>
    <w:rsid w:val="00344294"/>
    <w:rsid w:val="003559A6"/>
    <w:rsid w:val="00360199"/>
    <w:rsid w:val="00374E1B"/>
    <w:rsid w:val="003759AB"/>
    <w:rsid w:val="003908D6"/>
    <w:rsid w:val="00391C89"/>
    <w:rsid w:val="0039548A"/>
    <w:rsid w:val="003A06AF"/>
    <w:rsid w:val="003A2A5B"/>
    <w:rsid w:val="003A5E37"/>
    <w:rsid w:val="003B4669"/>
    <w:rsid w:val="003B5948"/>
    <w:rsid w:val="003C7360"/>
    <w:rsid w:val="003D161C"/>
    <w:rsid w:val="003D1C37"/>
    <w:rsid w:val="003D1C8A"/>
    <w:rsid w:val="003D3B51"/>
    <w:rsid w:val="003D75EC"/>
    <w:rsid w:val="003E1F94"/>
    <w:rsid w:val="003E205A"/>
    <w:rsid w:val="003E6664"/>
    <w:rsid w:val="003F1966"/>
    <w:rsid w:val="003F6CD6"/>
    <w:rsid w:val="00402EBC"/>
    <w:rsid w:val="004044D2"/>
    <w:rsid w:val="0040503A"/>
    <w:rsid w:val="0040714E"/>
    <w:rsid w:val="0042576C"/>
    <w:rsid w:val="00430770"/>
    <w:rsid w:val="0044169A"/>
    <w:rsid w:val="00441E95"/>
    <w:rsid w:val="00454F15"/>
    <w:rsid w:val="0046037D"/>
    <w:rsid w:val="00464813"/>
    <w:rsid w:val="00471521"/>
    <w:rsid w:val="004816F6"/>
    <w:rsid w:val="0049047E"/>
    <w:rsid w:val="0049551C"/>
    <w:rsid w:val="004A1469"/>
    <w:rsid w:val="004A1BCA"/>
    <w:rsid w:val="004B192F"/>
    <w:rsid w:val="004B41BF"/>
    <w:rsid w:val="004C01EE"/>
    <w:rsid w:val="004C2762"/>
    <w:rsid w:val="004C29E0"/>
    <w:rsid w:val="004C2EB6"/>
    <w:rsid w:val="004D4417"/>
    <w:rsid w:val="004D6C06"/>
    <w:rsid w:val="004E1A58"/>
    <w:rsid w:val="004F3E60"/>
    <w:rsid w:val="004F71B9"/>
    <w:rsid w:val="0050501B"/>
    <w:rsid w:val="00507482"/>
    <w:rsid w:val="00511D1D"/>
    <w:rsid w:val="00513FCB"/>
    <w:rsid w:val="005149C1"/>
    <w:rsid w:val="005159C8"/>
    <w:rsid w:val="00520BB1"/>
    <w:rsid w:val="00526672"/>
    <w:rsid w:val="0053061F"/>
    <w:rsid w:val="00531BF2"/>
    <w:rsid w:val="00540524"/>
    <w:rsid w:val="0054150B"/>
    <w:rsid w:val="00550678"/>
    <w:rsid w:val="00555315"/>
    <w:rsid w:val="0058328A"/>
    <w:rsid w:val="00587EBD"/>
    <w:rsid w:val="0059196E"/>
    <w:rsid w:val="0059398F"/>
    <w:rsid w:val="005966E6"/>
    <w:rsid w:val="00597A34"/>
    <w:rsid w:val="005A42CF"/>
    <w:rsid w:val="005B1908"/>
    <w:rsid w:val="005B412C"/>
    <w:rsid w:val="005C0849"/>
    <w:rsid w:val="005C719D"/>
    <w:rsid w:val="005D057C"/>
    <w:rsid w:val="005F6FB3"/>
    <w:rsid w:val="00601D67"/>
    <w:rsid w:val="006034A1"/>
    <w:rsid w:val="00605800"/>
    <w:rsid w:val="00611E7F"/>
    <w:rsid w:val="006201DC"/>
    <w:rsid w:val="006222B5"/>
    <w:rsid w:val="0063156F"/>
    <w:rsid w:val="00631CD7"/>
    <w:rsid w:val="006455F5"/>
    <w:rsid w:val="006537C5"/>
    <w:rsid w:val="00653E46"/>
    <w:rsid w:val="00654E33"/>
    <w:rsid w:val="00657C39"/>
    <w:rsid w:val="00661415"/>
    <w:rsid w:val="006626A0"/>
    <w:rsid w:val="006652C6"/>
    <w:rsid w:val="00693215"/>
    <w:rsid w:val="00696FAC"/>
    <w:rsid w:val="006A2B99"/>
    <w:rsid w:val="006A735A"/>
    <w:rsid w:val="006C2CCD"/>
    <w:rsid w:val="006C713F"/>
    <w:rsid w:val="006C799F"/>
    <w:rsid w:val="006D2666"/>
    <w:rsid w:val="006D4B5A"/>
    <w:rsid w:val="006D7C4B"/>
    <w:rsid w:val="006E6C32"/>
    <w:rsid w:val="006F14A0"/>
    <w:rsid w:val="006F367D"/>
    <w:rsid w:val="006F6672"/>
    <w:rsid w:val="006F6785"/>
    <w:rsid w:val="00707229"/>
    <w:rsid w:val="007249BC"/>
    <w:rsid w:val="00727BAE"/>
    <w:rsid w:val="00733FD6"/>
    <w:rsid w:val="007340A2"/>
    <w:rsid w:val="00734E0C"/>
    <w:rsid w:val="007402CD"/>
    <w:rsid w:val="007416AD"/>
    <w:rsid w:val="00745275"/>
    <w:rsid w:val="00746353"/>
    <w:rsid w:val="00757634"/>
    <w:rsid w:val="0076007D"/>
    <w:rsid w:val="00772CE2"/>
    <w:rsid w:val="007757E2"/>
    <w:rsid w:val="00777D64"/>
    <w:rsid w:val="00791FFC"/>
    <w:rsid w:val="0079294F"/>
    <w:rsid w:val="00793A9D"/>
    <w:rsid w:val="00794222"/>
    <w:rsid w:val="007C00A3"/>
    <w:rsid w:val="007D3EFA"/>
    <w:rsid w:val="007E0306"/>
    <w:rsid w:val="007E51A7"/>
    <w:rsid w:val="007F45BF"/>
    <w:rsid w:val="008047C9"/>
    <w:rsid w:val="008152AE"/>
    <w:rsid w:val="00815AE4"/>
    <w:rsid w:val="00821ADD"/>
    <w:rsid w:val="00822320"/>
    <w:rsid w:val="00822A7D"/>
    <w:rsid w:val="0082514F"/>
    <w:rsid w:val="008311D9"/>
    <w:rsid w:val="008324CD"/>
    <w:rsid w:val="00833E2C"/>
    <w:rsid w:val="00845B34"/>
    <w:rsid w:val="0085401E"/>
    <w:rsid w:val="00860CA7"/>
    <w:rsid w:val="00863007"/>
    <w:rsid w:val="00863E49"/>
    <w:rsid w:val="00876303"/>
    <w:rsid w:val="00881496"/>
    <w:rsid w:val="0088687F"/>
    <w:rsid w:val="00887790"/>
    <w:rsid w:val="00892774"/>
    <w:rsid w:val="008938B9"/>
    <w:rsid w:val="00893C31"/>
    <w:rsid w:val="008963E5"/>
    <w:rsid w:val="008B0181"/>
    <w:rsid w:val="008B3F9E"/>
    <w:rsid w:val="008C3A70"/>
    <w:rsid w:val="008C532A"/>
    <w:rsid w:val="008C59DF"/>
    <w:rsid w:val="008C6FBF"/>
    <w:rsid w:val="008C79E1"/>
    <w:rsid w:val="008D3587"/>
    <w:rsid w:val="008D7C14"/>
    <w:rsid w:val="008F39B5"/>
    <w:rsid w:val="008F3F0D"/>
    <w:rsid w:val="008F5474"/>
    <w:rsid w:val="00905FB1"/>
    <w:rsid w:val="00916F29"/>
    <w:rsid w:val="00920582"/>
    <w:rsid w:val="009250BD"/>
    <w:rsid w:val="00925F3F"/>
    <w:rsid w:val="00930149"/>
    <w:rsid w:val="00931430"/>
    <w:rsid w:val="00935ED9"/>
    <w:rsid w:val="0094010B"/>
    <w:rsid w:val="0094433B"/>
    <w:rsid w:val="00945AA2"/>
    <w:rsid w:val="009466B8"/>
    <w:rsid w:val="00950D4C"/>
    <w:rsid w:val="009543A1"/>
    <w:rsid w:val="0095592C"/>
    <w:rsid w:val="00957CC4"/>
    <w:rsid w:val="0096132A"/>
    <w:rsid w:val="00970A92"/>
    <w:rsid w:val="00972DAE"/>
    <w:rsid w:val="009764BF"/>
    <w:rsid w:val="00977863"/>
    <w:rsid w:val="009827A1"/>
    <w:rsid w:val="00985A40"/>
    <w:rsid w:val="0099365A"/>
    <w:rsid w:val="009C22C3"/>
    <w:rsid w:val="009D0E2E"/>
    <w:rsid w:val="009D1CA9"/>
    <w:rsid w:val="009D417B"/>
    <w:rsid w:val="009E3C03"/>
    <w:rsid w:val="00A030EC"/>
    <w:rsid w:val="00A04956"/>
    <w:rsid w:val="00A0709B"/>
    <w:rsid w:val="00A07F7C"/>
    <w:rsid w:val="00A1176E"/>
    <w:rsid w:val="00A12356"/>
    <w:rsid w:val="00A170CD"/>
    <w:rsid w:val="00A30304"/>
    <w:rsid w:val="00A312A7"/>
    <w:rsid w:val="00A31B88"/>
    <w:rsid w:val="00A401BF"/>
    <w:rsid w:val="00A4113B"/>
    <w:rsid w:val="00A41C1A"/>
    <w:rsid w:val="00A53ADE"/>
    <w:rsid w:val="00A54E32"/>
    <w:rsid w:val="00A5776B"/>
    <w:rsid w:val="00A60406"/>
    <w:rsid w:val="00A73CD4"/>
    <w:rsid w:val="00A74209"/>
    <w:rsid w:val="00A75CFE"/>
    <w:rsid w:val="00A77637"/>
    <w:rsid w:val="00A81B8A"/>
    <w:rsid w:val="00A9012C"/>
    <w:rsid w:val="00A925A3"/>
    <w:rsid w:val="00A94E27"/>
    <w:rsid w:val="00A963B2"/>
    <w:rsid w:val="00AC3CBC"/>
    <w:rsid w:val="00AD0827"/>
    <w:rsid w:val="00AD4557"/>
    <w:rsid w:val="00AE08CD"/>
    <w:rsid w:val="00AE6DB3"/>
    <w:rsid w:val="00AF0B61"/>
    <w:rsid w:val="00AF4278"/>
    <w:rsid w:val="00AF4376"/>
    <w:rsid w:val="00B00E65"/>
    <w:rsid w:val="00B048A6"/>
    <w:rsid w:val="00B05AAB"/>
    <w:rsid w:val="00B227BE"/>
    <w:rsid w:val="00B3259D"/>
    <w:rsid w:val="00B37176"/>
    <w:rsid w:val="00B4004B"/>
    <w:rsid w:val="00B42A7C"/>
    <w:rsid w:val="00B464F8"/>
    <w:rsid w:val="00B468CC"/>
    <w:rsid w:val="00B5114A"/>
    <w:rsid w:val="00B519EB"/>
    <w:rsid w:val="00B541DB"/>
    <w:rsid w:val="00B61D7A"/>
    <w:rsid w:val="00B65BAA"/>
    <w:rsid w:val="00B87FE7"/>
    <w:rsid w:val="00BA23BB"/>
    <w:rsid w:val="00BA7837"/>
    <w:rsid w:val="00BB02B9"/>
    <w:rsid w:val="00BB3C10"/>
    <w:rsid w:val="00BB4D0C"/>
    <w:rsid w:val="00BC3580"/>
    <w:rsid w:val="00BC48F5"/>
    <w:rsid w:val="00BC534D"/>
    <w:rsid w:val="00BC6C31"/>
    <w:rsid w:val="00BD4D00"/>
    <w:rsid w:val="00BD6D47"/>
    <w:rsid w:val="00BE03A8"/>
    <w:rsid w:val="00BE1F06"/>
    <w:rsid w:val="00BF780E"/>
    <w:rsid w:val="00BF7AAF"/>
    <w:rsid w:val="00C11A2E"/>
    <w:rsid w:val="00C16511"/>
    <w:rsid w:val="00C16515"/>
    <w:rsid w:val="00C219D5"/>
    <w:rsid w:val="00C22537"/>
    <w:rsid w:val="00C26A01"/>
    <w:rsid w:val="00C31D30"/>
    <w:rsid w:val="00C4193D"/>
    <w:rsid w:val="00C53136"/>
    <w:rsid w:val="00C5331E"/>
    <w:rsid w:val="00C53FE8"/>
    <w:rsid w:val="00C56513"/>
    <w:rsid w:val="00C658DE"/>
    <w:rsid w:val="00C65CB6"/>
    <w:rsid w:val="00C70622"/>
    <w:rsid w:val="00C70AD4"/>
    <w:rsid w:val="00C7283E"/>
    <w:rsid w:val="00C73A47"/>
    <w:rsid w:val="00C74D49"/>
    <w:rsid w:val="00C813A9"/>
    <w:rsid w:val="00C93CF4"/>
    <w:rsid w:val="00CA1F57"/>
    <w:rsid w:val="00CA442D"/>
    <w:rsid w:val="00CB250A"/>
    <w:rsid w:val="00CB4D69"/>
    <w:rsid w:val="00CB6B77"/>
    <w:rsid w:val="00CC5B04"/>
    <w:rsid w:val="00CC6581"/>
    <w:rsid w:val="00CE2E8B"/>
    <w:rsid w:val="00CE32F5"/>
    <w:rsid w:val="00CF0AD3"/>
    <w:rsid w:val="00CF2EC9"/>
    <w:rsid w:val="00D117D4"/>
    <w:rsid w:val="00D16D42"/>
    <w:rsid w:val="00D25DA3"/>
    <w:rsid w:val="00D25F70"/>
    <w:rsid w:val="00D533DF"/>
    <w:rsid w:val="00D56B46"/>
    <w:rsid w:val="00D629DA"/>
    <w:rsid w:val="00D707EA"/>
    <w:rsid w:val="00D830F0"/>
    <w:rsid w:val="00D8327A"/>
    <w:rsid w:val="00D8747D"/>
    <w:rsid w:val="00D93FC3"/>
    <w:rsid w:val="00D95101"/>
    <w:rsid w:val="00DB120A"/>
    <w:rsid w:val="00DB2D19"/>
    <w:rsid w:val="00DC49EC"/>
    <w:rsid w:val="00DD3476"/>
    <w:rsid w:val="00DD3842"/>
    <w:rsid w:val="00DD66D2"/>
    <w:rsid w:val="00DD6725"/>
    <w:rsid w:val="00DD6913"/>
    <w:rsid w:val="00DD79B4"/>
    <w:rsid w:val="00DE6F08"/>
    <w:rsid w:val="00DF5B04"/>
    <w:rsid w:val="00DF6B7E"/>
    <w:rsid w:val="00E101BB"/>
    <w:rsid w:val="00E16226"/>
    <w:rsid w:val="00E21BCC"/>
    <w:rsid w:val="00E22BCF"/>
    <w:rsid w:val="00E326A7"/>
    <w:rsid w:val="00E436EE"/>
    <w:rsid w:val="00E44AD1"/>
    <w:rsid w:val="00E53AAB"/>
    <w:rsid w:val="00E60A0F"/>
    <w:rsid w:val="00E716D5"/>
    <w:rsid w:val="00E72C69"/>
    <w:rsid w:val="00E73AA2"/>
    <w:rsid w:val="00E75F67"/>
    <w:rsid w:val="00E85FEE"/>
    <w:rsid w:val="00E86C75"/>
    <w:rsid w:val="00E87825"/>
    <w:rsid w:val="00E8788B"/>
    <w:rsid w:val="00E9549A"/>
    <w:rsid w:val="00E964E4"/>
    <w:rsid w:val="00EB0897"/>
    <w:rsid w:val="00EB0FE3"/>
    <w:rsid w:val="00EC3D8C"/>
    <w:rsid w:val="00ED00F5"/>
    <w:rsid w:val="00ED01E7"/>
    <w:rsid w:val="00ED54A2"/>
    <w:rsid w:val="00EE5F79"/>
    <w:rsid w:val="00EE6FAA"/>
    <w:rsid w:val="00EF1799"/>
    <w:rsid w:val="00EF71A4"/>
    <w:rsid w:val="00F002C9"/>
    <w:rsid w:val="00F154AE"/>
    <w:rsid w:val="00F24FBB"/>
    <w:rsid w:val="00F3317D"/>
    <w:rsid w:val="00F35CC1"/>
    <w:rsid w:val="00F403FD"/>
    <w:rsid w:val="00F4679E"/>
    <w:rsid w:val="00F47FA0"/>
    <w:rsid w:val="00F5426D"/>
    <w:rsid w:val="00F548D3"/>
    <w:rsid w:val="00F562F8"/>
    <w:rsid w:val="00F564B8"/>
    <w:rsid w:val="00F664C4"/>
    <w:rsid w:val="00F801C1"/>
    <w:rsid w:val="00F93E9E"/>
    <w:rsid w:val="00FA16BA"/>
    <w:rsid w:val="00FA3044"/>
    <w:rsid w:val="00FA7BFB"/>
    <w:rsid w:val="00FB2B0A"/>
    <w:rsid w:val="00FC6A71"/>
    <w:rsid w:val="00FC735C"/>
    <w:rsid w:val="00FD1A9E"/>
    <w:rsid w:val="00FD4858"/>
    <w:rsid w:val="00FD4929"/>
    <w:rsid w:val="00FD51C4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F5D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86E"/>
    <w:pPr>
      <w:spacing w:after="118" w:line="357" w:lineRule="auto"/>
      <w:ind w:right="768" w:firstLine="501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B186E"/>
    <w:pPr>
      <w:keepNext/>
      <w:keepLines/>
      <w:spacing w:after="225" w:line="264" w:lineRule="auto"/>
      <w:ind w:left="10" w:right="82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9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1C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186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86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1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86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Poprawka">
    <w:name w:val="Revision"/>
    <w:hidden/>
    <w:uiPriority w:val="99"/>
    <w:semiHidden/>
    <w:rsid w:val="00972D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9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59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94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9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94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C27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76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1C89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1176E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9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F7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3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356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356"/>
    <w:rPr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CB4D69"/>
    <w:pPr>
      <w:suppressAutoHyphens/>
      <w:autoSpaceDE w:val="0"/>
      <w:autoSpaceDN w:val="0"/>
      <w:adjustRightInd w:val="0"/>
      <w:spacing w:before="120" w:after="0" w:line="360" w:lineRule="auto"/>
      <w:ind w:right="0" w:firstLine="510"/>
    </w:pPr>
    <w:rPr>
      <w:rFonts w:ascii="Times" w:eastAsiaTheme="minorEastAsia" w:hAnsi="Times" w:cs="Arial"/>
      <w:bCs/>
      <w:color w:val="auto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9C218-4E40-4CC7-B2E8-1ADC1564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2351</Words>
  <Characters>14107</Characters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2023-12-05T17:26:00Z</dcterms:created>
  <dcterms:modified xsi:type="dcterms:W3CDTF">2023-12-05T17:26:00Z</dcterms:modified>
</cp:coreProperties>
</file>